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id w:val="-1240092587"/>
        <w:docPartObj>
          <w:docPartGallery w:val="Cover Pages"/>
          <w:docPartUnique/>
        </w:docPartObj>
      </w:sdtPr>
      <w:sdtContent>
        <w:p w14:paraId="039FDF98" w14:textId="5876A7AB" w:rsidR="001E1564" w:rsidRDefault="001E1564">
          <w:r>
            <w:rPr>
              <w:noProof/>
              <w:lang w:val="en-US" w:eastAsia="en-US"/>
            </w:rPr>
            <mc:AlternateContent>
              <mc:Choice Requires="wps">
                <w:drawing>
                  <wp:anchor distT="0" distB="0" distL="114300" distR="114300" simplePos="0" relativeHeight="251661312" behindDoc="0" locked="0" layoutInCell="1" allowOverlap="1" wp14:anchorId="275186C3" wp14:editId="7DABB7AF">
                    <wp:simplePos x="0" y="0"/>
                    <wp:positionH relativeFrom="page">
                      <wp:align>left</wp:align>
                    </wp:positionH>
                    <wp:positionV relativeFrom="page">
                      <wp:align>bottom</wp:align>
                    </wp:positionV>
                    <wp:extent cx="5534025" cy="2724912"/>
                    <wp:effectExtent l="0" t="0" r="0" b="0"/>
                    <wp:wrapNone/>
                    <wp:docPr id="36" name="Text Box 36" title="Title and subtitle"/>
                    <wp:cNvGraphicFramePr/>
                    <a:graphic xmlns:a="http://schemas.openxmlformats.org/drawingml/2006/main">
                      <a:graphicData uri="http://schemas.microsoft.com/office/word/2010/wordprocessingShape">
                        <wps:wsp>
                          <wps:cNvSpPr txBox="1"/>
                          <wps:spPr>
                            <a:xfrm>
                              <a:off x="0" y="0"/>
                              <a:ext cx="5534025" cy="2724912"/>
                            </a:xfrm>
                            <a:prstGeom prst="rect">
                              <a:avLst/>
                            </a:prstGeom>
                            <a:noFill/>
                            <a:ln w="6350">
                              <a:noFill/>
                            </a:ln>
                          </wps:spPr>
                          <wps:txbx>
                            <w:txbxContent>
                              <w:sdt>
                                <w:sdtPr>
                                  <w:rPr>
                                    <w:i/>
                                    <w:color w:val="262626" w:themeColor="text1" w:themeTint="D9"/>
                                    <w:sz w:val="32"/>
                                    <w:szCs w:val="32"/>
                                  </w:rPr>
                                  <w:alias w:val="Author"/>
                                  <w:tag w:val=""/>
                                  <w:id w:val="-1315403320"/>
                                  <w:dataBinding w:prefixMappings="xmlns:ns0='http://purl.org/dc/elements/1.1/' xmlns:ns1='http://schemas.openxmlformats.org/package/2006/metadata/core-properties' " w:xpath="/ns1:coreProperties[1]/ns0:creator[1]" w:storeItemID="{6C3C8BC8-F283-45AE-878A-BAB7291924A1}"/>
                                  <w15:appearance w15:val="hidden"/>
                                  <w:text/>
                                </w:sdtPr>
                                <w:sdtContent>
                                  <w:p w14:paraId="53DC0FE2" w14:textId="14CA56A5" w:rsidR="00AB5933" w:rsidRDefault="00AB5933">
                                    <w:pPr>
                                      <w:pStyle w:val="NoSpacing"/>
                                      <w:spacing w:after="480"/>
                                      <w:rPr>
                                        <w:i/>
                                        <w:color w:val="262626" w:themeColor="text1" w:themeTint="D9"/>
                                        <w:sz w:val="32"/>
                                        <w:szCs w:val="32"/>
                                      </w:rPr>
                                    </w:pPr>
                                    <w:r>
                                      <w:rPr>
                                        <w:i/>
                                        <w:color w:val="262626" w:themeColor="text1" w:themeTint="D9"/>
                                        <w:sz w:val="32"/>
                                        <w:szCs w:val="32"/>
                                      </w:rPr>
                                      <w:t>Economic Analysis</w:t>
                                    </w:r>
                                  </w:p>
                                </w:sdtContent>
                              </w:sdt>
                              <w:p w14:paraId="3C5A38CE" w14:textId="11C44461" w:rsidR="00AB5933" w:rsidRDefault="00AB5933">
                                <w:pPr>
                                  <w:pStyle w:val="NoSpacing"/>
                                  <w:rPr>
                                    <w:i/>
                                    <w:color w:val="262626" w:themeColor="text1" w:themeTint="D9"/>
                                    <w:sz w:val="26"/>
                                    <w:szCs w:val="26"/>
                                  </w:rPr>
                                </w:pPr>
                                <w:sdt>
                                  <w:sdtPr>
                                    <w:rPr>
                                      <w:i/>
                                      <w:color w:val="262626" w:themeColor="text1" w:themeTint="D9"/>
                                      <w:sz w:val="26"/>
                                      <w:szCs w:val="26"/>
                                    </w:rPr>
                                    <w:alias w:val="Company"/>
                                    <w:tag w:val=""/>
                                    <w:id w:val="775749618"/>
                                    <w:dataBinding w:prefixMappings="xmlns:ns0='http://schemas.openxmlformats.org/officeDocument/2006/extended-properties' " w:xpath="/ns0:Properties[1]/ns0:Company[1]" w:storeItemID="{6668398D-A668-4E3E-A5EB-62B293D839F1}"/>
                                    <w15:appearance w15:val="hidden"/>
                                    <w:text/>
                                  </w:sdtPr>
                                  <w:sdtContent>
                                    <w:r>
                                      <w:rPr>
                                        <w:i/>
                                        <w:color w:val="262626" w:themeColor="text1" w:themeTint="D9"/>
                                        <w:sz w:val="26"/>
                                        <w:szCs w:val="26"/>
                                      </w:rPr>
                                      <w:t>Macroeconomic Policy Department</w:t>
                                    </w:r>
                                  </w:sdtContent>
                                </w:sdt>
                                <w:r>
                                  <w:rPr>
                                    <w:i/>
                                    <w:color w:val="262626" w:themeColor="text1" w:themeTint="D9"/>
                                    <w:sz w:val="26"/>
                                    <w:szCs w:val="26"/>
                                  </w:rPr>
                                  <w:t xml:space="preserve"> | </w:t>
                                </w:r>
                                <w:sdt>
                                  <w:sdtPr>
                                    <w:rPr>
                                      <w:i/>
                                      <w:color w:val="262626" w:themeColor="text1" w:themeTint="D9"/>
                                      <w:sz w:val="26"/>
                                      <w:szCs w:val="26"/>
                                    </w:rPr>
                                    <w:alias w:val="Company Address"/>
                                    <w:tag w:val=""/>
                                    <w:id w:val="-92392518"/>
                                    <w:dataBinding w:prefixMappings="xmlns:ns0='http://schemas.microsoft.com/office/2006/coverPageProps' " w:xpath="/ns0:CoverPageProperties[1]/ns0:CompanyAddress[1]" w:storeItemID="{55AF091B-3C7A-41E3-B477-F2FDAA23CFDA}"/>
                                    <w15:appearance w15:val="hidden"/>
                                    <w:text/>
                                  </w:sdtPr>
                                  <w:sdtContent>
                                    <w:proofErr w:type="spellStart"/>
                                    <w:r>
                                      <w:rPr>
                                        <w:i/>
                                        <w:color w:val="262626" w:themeColor="text1" w:themeTint="D9"/>
                                        <w:sz w:val="26"/>
                                        <w:szCs w:val="26"/>
                                      </w:rPr>
                                      <w:t>MoFPED</w:t>
                                    </w:r>
                                    <w:proofErr w:type="spellEnd"/>
                                  </w:sdtContent>
                                </w:sdt>
                              </w:p>
                            </w:txbxContent>
                          </wps:txbx>
                          <wps:bodyPr rot="0" spcFirstLastPara="0" vertOverflow="overflow" horzOverflow="overflow" vert="horz" wrap="square" lIns="1188720" tIns="91440" rIns="0" bIns="914400" numCol="1" spcCol="0" rtlCol="0" fromWordArt="0" anchor="b" anchorCtr="0" forceAA="0" compatLnSpc="1">
                            <a:prstTxWarp prst="textNoShape">
                              <a:avLst/>
                            </a:prstTxWarp>
                            <a:noAutofit/>
                          </wps:bodyPr>
                        </wps:wsp>
                      </a:graphicData>
                    </a:graphic>
                    <wp14:sizeRelH relativeFrom="page">
                      <wp14:pctWidth>89000</wp14:pctWidth>
                    </wp14:sizeRelH>
                    <wp14:sizeRelV relativeFrom="margin">
                      <wp14:pctHeight>0</wp14:pctHeight>
                    </wp14:sizeRelV>
                  </wp:anchor>
                </w:drawing>
              </mc:Choice>
              <mc:Fallback>
                <w:pict>
                  <v:shapetype w14:anchorId="275186C3" id="_x0000_t202" coordsize="21600,21600" o:spt="202" path="m,l,21600r21600,l21600,xe">
                    <v:stroke joinstyle="miter"/>
                    <v:path gradientshapeok="t" o:connecttype="rect"/>
                  </v:shapetype>
                  <v:shape id="Text Box 36" o:spid="_x0000_s1026" type="#_x0000_t202" alt="Title: Title and subtitle" style="position:absolute;margin-left:0;margin-top:0;width:435.75pt;height:214.55pt;z-index:251661312;visibility:visible;mso-wrap-style:square;mso-width-percent:890;mso-height-percent:0;mso-wrap-distance-left:9pt;mso-wrap-distance-top:0;mso-wrap-distance-right:9pt;mso-wrap-distance-bottom:0;mso-position-horizontal:left;mso-position-horizontal-relative:page;mso-position-vertical:bottom;mso-position-vertical-relative:page;mso-width-percent:890;mso-height-percent:0;mso-width-relative:page;mso-height-relative:margin;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" filled="f" stroked="f" strokeweight=".5pt">
                    <v:textbox inset="93.6pt,7.2pt,0,1in">
                      <w:txbxContent>
                        <w:sdt>
                          <w:sdtPr>
                            <w:rPr>
                              <w:i/>
                              <w:color w:val="262626" w:themeColor="text1" w:themeTint="D9"/>
                              <w:sz w:val="32"/>
                              <w:szCs w:val="32"/>
                            </w:rPr>
                            <w:alias w:val="Author"/>
                            <w:tag w:val=""/>
                            <w:id w:val="-1315403320"/>
                            <w:dataBinding w:prefixMappings="xmlns:ns0='http://purl.org/dc/elements/1.1/' xmlns:ns1='http://schemas.openxmlformats.org/package/2006/metadata/core-properties' " w:xpath="/ns1:coreProperties[1]/ns0:creator[1]" w:storeItemID="{6C3C8BC8-F283-45AE-878A-BAB7291924A1}"/>
                            <w15:appearance w15:val="hidden"/>
                            <w:text/>
                          </w:sdtPr>
                          <w:sdtContent>
                            <w:p w14:paraId="53DC0FE2" w14:textId="14CA56A5" w:rsidR="00AB5933" w:rsidRDefault="00AB5933">
                              <w:pPr>
                                <w:pStyle w:val="NoSpacing"/>
                                <w:spacing w:after="480"/>
                                <w:rPr>
                                  <w:i/>
                                  <w:color w:val="262626" w:themeColor="text1" w:themeTint="D9"/>
                                  <w:sz w:val="32"/>
                                  <w:szCs w:val="32"/>
                                </w:rPr>
                              </w:pPr>
                              <w:r>
                                <w:rPr>
                                  <w:i/>
                                  <w:color w:val="262626" w:themeColor="text1" w:themeTint="D9"/>
                                  <w:sz w:val="32"/>
                                  <w:szCs w:val="32"/>
                                </w:rPr>
                                <w:t>Economic Analysis</w:t>
                              </w:r>
                            </w:p>
                          </w:sdtContent>
                        </w:sdt>
                        <w:p w14:paraId="3C5A38CE" w14:textId="11C44461" w:rsidR="00AB5933" w:rsidRDefault="00AB5933">
                          <w:pPr>
                            <w:pStyle w:val="NoSpacing"/>
                            <w:rPr>
                              <w:i/>
                              <w:color w:val="262626" w:themeColor="text1" w:themeTint="D9"/>
                              <w:sz w:val="26"/>
                              <w:szCs w:val="26"/>
                            </w:rPr>
                          </w:pPr>
                          <w:sdt>
                            <w:sdtPr>
                              <w:rPr>
                                <w:i/>
                                <w:color w:val="262626" w:themeColor="text1" w:themeTint="D9"/>
                                <w:sz w:val="26"/>
                                <w:szCs w:val="26"/>
                              </w:rPr>
                              <w:alias w:val="Company"/>
                              <w:tag w:val=""/>
                              <w:id w:val="775749618"/>
                              <w:dataBinding w:prefixMappings="xmlns:ns0='http://schemas.openxmlformats.org/officeDocument/2006/extended-properties' " w:xpath="/ns0:Properties[1]/ns0:Company[1]" w:storeItemID="{6668398D-A668-4E3E-A5EB-62B293D839F1}"/>
                              <w15:appearance w15:val="hidden"/>
                              <w:text/>
                            </w:sdtPr>
                            <w:sdtContent>
                              <w:r>
                                <w:rPr>
                                  <w:i/>
                                  <w:color w:val="262626" w:themeColor="text1" w:themeTint="D9"/>
                                  <w:sz w:val="26"/>
                                  <w:szCs w:val="26"/>
                                </w:rPr>
                                <w:t>Macroeconomic Policy Department</w:t>
                              </w:r>
                            </w:sdtContent>
                          </w:sdt>
                          <w:r>
                            <w:rPr>
                              <w:i/>
                              <w:color w:val="262626" w:themeColor="text1" w:themeTint="D9"/>
                              <w:sz w:val="26"/>
                              <w:szCs w:val="26"/>
                            </w:rPr>
                            <w:t xml:space="preserve"> | </w:t>
                          </w:r>
                          <w:sdt>
                            <w:sdtPr>
                              <w:rPr>
                                <w:i/>
                                <w:color w:val="262626" w:themeColor="text1" w:themeTint="D9"/>
                                <w:sz w:val="26"/>
                                <w:szCs w:val="26"/>
                              </w:rPr>
                              <w:alias w:val="Company Address"/>
                              <w:tag w:val=""/>
                              <w:id w:val="-92392518"/>
                              <w:dataBinding w:prefixMappings="xmlns:ns0='http://schemas.microsoft.com/office/2006/coverPageProps' " w:xpath="/ns0:CoverPageProperties[1]/ns0:CompanyAddress[1]" w:storeItemID="{55AF091B-3C7A-41E3-B477-F2FDAA23CFDA}"/>
                              <w15:appearance w15:val="hidden"/>
                              <w:text/>
                            </w:sdtPr>
                            <w:sdtContent>
                              <w:proofErr w:type="spellStart"/>
                              <w:r>
                                <w:rPr>
                                  <w:i/>
                                  <w:color w:val="262626" w:themeColor="text1" w:themeTint="D9"/>
                                  <w:sz w:val="26"/>
                                  <w:szCs w:val="26"/>
                                </w:rPr>
                                <w:t>MoFPED</w:t>
                              </w:r>
                              <w:proofErr w:type="spellEnd"/>
                            </w:sdtContent>
                          </w:sdt>
                        </w:p>
                      </w:txbxContent>
                    </v:textbox>
                    <w10:wrap anchorx="page" anchory="page"/>
                  </v:shape>
                </w:pict>
              </mc:Fallback>
            </mc:AlternateContent>
          </w:r>
          <w:r>
            <w:rPr>
              <w:noProof/>
              <w:lang w:val="en-US" w:eastAsia="en-US"/>
            </w:rPr>
            <mc:AlternateContent>
              <mc:Choice Requires="wps">
                <w:drawing>
                  <wp:anchor distT="0" distB="0" distL="114300" distR="114300" simplePos="0" relativeHeight="251660288" behindDoc="1" locked="0" layoutInCell="1" allowOverlap="1" wp14:anchorId="3FB2B467" wp14:editId="45BFA8C3">
                    <wp:simplePos x="0" y="0"/>
                    <mc:AlternateContent>
                      <mc:Choice Requires="wp14">
                        <wp:positionH relativeFrom="page">
                          <wp14:pctPosHOffset>10000</wp14:pctPosHOffset>
                        </wp:positionH>
                      </mc:Choice>
                      <mc:Fallback>
                        <wp:positionH relativeFrom="page">
                          <wp:posOffset>755650</wp:posOffset>
                        </wp:positionH>
                      </mc:Fallback>
                    </mc:AlternateContent>
                    <mc:AlternateContent>
                      <mc:Choice Requires="wp14">
                        <wp:positionV relativeFrom="page">
                          <wp14:pctPosVOffset>15000</wp14:pctPosVOffset>
                        </wp:positionV>
                      </mc:Choice>
                      <mc:Fallback>
                        <wp:positionV relativeFrom="page">
                          <wp:posOffset>1604010</wp:posOffset>
                        </wp:positionV>
                      </mc:Fallback>
                    </mc:AlternateContent>
                    <wp:extent cx="0" cy="1543050"/>
                    <wp:effectExtent l="19050" t="0" r="19050" b="23495"/>
                    <wp:wrapNone/>
                    <wp:docPr id="37" name="Straight Connector 37"/>
                    <wp:cNvGraphicFramePr/>
                    <a:graphic xmlns:a="http://schemas.openxmlformats.org/drawingml/2006/main">
                      <a:graphicData uri="http://schemas.microsoft.com/office/word/2010/wordprocessingShape">
                        <wps:wsp>
                          <wps:cNvCnPr/>
                          <wps:spPr>
                            <a:xfrm>
                              <a:off x="0" y="0"/>
                              <a:ext cx="0" cy="1543050"/>
                            </a:xfrm>
                            <a:prstGeom prst="line">
                              <a:avLst/>
                            </a:prstGeom>
                            <a:ln w="28575">
                              <a:solidFill>
                                <a:schemeClr val="tx1">
                                  <a:lumMod val="85000"/>
                                  <a:lumOff val="1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page">
                      <wp14:pctHeight>79500</wp14:pctHeight>
                    </wp14:sizeRelV>
                  </wp:anchor>
                </w:drawing>
              </mc:Choice>
              <mc:Fallback>
                <w:pict>
                  <v:line w14:anchorId="01491815" id="Straight Connector 37" o:spid="_x0000_s1026" style="position:absolute;z-index:-251656192;visibility:visible;mso-wrap-style:square;mso-height-percent:795;mso-left-percent:100;mso-top-percent:150;mso-wrap-distance-left:9pt;mso-wrap-distance-top:0;mso-wrap-distance-right:9pt;mso-wrap-distance-bottom:0;mso-position-horizontal-relative:page;mso-position-vertical-relative:page;mso-height-percent:795;mso-left-percent:100;mso-top-percent:150;mso-height-relative:page" from="0,0" to="0,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" strokecolor="#272727 [2749]" strokeweight="2.25pt">
                    <v:stroke joinstyle="miter"/>
                    <w10:wrap anchorx="page" anchory="page"/>
                  </v:line>
                </w:pict>
              </mc:Fallback>
            </mc:AlternateContent>
          </w:r>
          <w:r>
            <w:rPr>
              <w:noProof/>
              <w:lang w:val="en-US" w:eastAsia="en-US"/>
            </w:rPr>
            <mc:AlternateContent>
              <mc:Choice Requires="wps">
                <w:drawing>
                  <wp:anchor distT="0" distB="0" distL="114300" distR="114300" simplePos="0" relativeHeight="251659264" behindDoc="0" locked="0" layoutInCell="1" allowOverlap="1" wp14:anchorId="64BA1668" wp14:editId="51FA7E41">
                    <wp:simplePos x="0" y="0"/>
                    <wp:positionH relativeFrom="page">
                      <wp:align>left</wp:align>
                    </wp:positionH>
                    <mc:AlternateContent>
                      <mc:Choice Requires="wp14">
                        <wp:positionV relativeFrom="page">
                          <wp14:pctPosVOffset>15000</wp14:pctPosVOffset>
                        </wp:positionV>
                      </mc:Choice>
                      <mc:Fallback>
                        <wp:positionV relativeFrom="page">
                          <wp:posOffset>1604010</wp:posOffset>
                        </wp:positionV>
                      </mc:Fallback>
                    </mc:AlternateContent>
                    <wp:extent cx="5534025" cy="2724912"/>
                    <wp:effectExtent l="0" t="0" r="0" b="2540"/>
                    <wp:wrapNone/>
                    <wp:docPr id="38" name="Text Box 38" title="Title and subtitle"/>
                    <wp:cNvGraphicFramePr/>
                    <a:graphic xmlns:a="http://schemas.openxmlformats.org/drawingml/2006/main">
                      <a:graphicData uri="http://schemas.microsoft.com/office/word/2010/wordprocessingShape">
                        <wps:wsp>
                          <wps:cNvSpPr txBox="1"/>
                          <wps:spPr>
                            <a:xfrm>
                              <a:off x="0" y="0"/>
                              <a:ext cx="5534025" cy="2724912"/>
                            </a:xfrm>
                            <a:prstGeom prst="rect">
                              <a:avLst/>
                            </a:prstGeom>
                            <a:noFill/>
                            <a:ln w="6350">
                              <a:noFill/>
                            </a:ln>
                          </wps:spPr>
                          <wps:txbx>
                            <w:txbxContent>
                              <w:sdt>
                                <w:sdtPr>
                                  <w:rPr>
                                    <w:rFonts w:asciiTheme="majorHAnsi" w:eastAsia="Times New Roman" w:hAnsiTheme="majorHAnsi" w:cstheme="majorBidi"/>
                                    <w:spacing w:val="-10"/>
                                    <w:kern w:val="28"/>
                                    <w:sz w:val="56"/>
                                    <w:szCs w:val="56"/>
                                    <w:lang w:eastAsia="en-GB"/>
                                  </w:rPr>
                                  <w:alias w:val="Title"/>
                                  <w:tag w:val=""/>
                                  <w:id w:val="1666976605"/>
                                  <w:dataBinding w:prefixMappings="xmlns:ns0='http://purl.org/dc/elements/1.1/' xmlns:ns1='http://schemas.openxmlformats.org/package/2006/metadata/core-properties' " w:xpath="/ns1:coreProperties[1]/ns0:title[1]" w:storeItemID="{6C3C8BC8-F283-45AE-878A-BAB7291924A1}"/>
                                  <w15:appearance w15:val="hidden"/>
                                  <w:text/>
                                </w:sdtPr>
                                <w:sdtContent>
                                  <w:p w14:paraId="3A05B6DF" w14:textId="07DD1DEE" w:rsidR="00AB5933" w:rsidRDefault="00AB5933">
                                    <w:pPr>
                                      <w:pStyle w:val="NoSpacing"/>
                                      <w:spacing w:after="900"/>
                                      <w:rPr>
                                        <w:rFonts w:asciiTheme="majorHAnsi" w:hAnsiTheme="majorHAnsi"/>
                                        <w:i/>
                                        <w:caps/>
                                        <w:color w:val="262626" w:themeColor="text1" w:themeTint="D9"/>
                                        <w:sz w:val="120"/>
                                        <w:szCs w:val="120"/>
                                      </w:rPr>
                                    </w:pPr>
                                    <w:r w:rsidRPr="001E1564">
                                      <w:rPr>
                                        <w:rFonts w:asciiTheme="majorHAnsi" w:eastAsia="Times New Roman" w:hAnsiTheme="majorHAnsi" w:cstheme="majorBidi"/>
                                        <w:spacing w:val="-10"/>
                                        <w:kern w:val="28"/>
                                        <w:sz w:val="56"/>
                                        <w:szCs w:val="56"/>
                                        <w:lang w:eastAsia="en-GB"/>
                                      </w:rPr>
                                      <w:t>Determinants of growth, drivers and barriers to Uganda’s recent growth, and future strategies for inclusive growth</w:t>
                                    </w:r>
                                  </w:p>
                                </w:sdtContent>
                              </w:sdt>
                              <w:p w14:paraId="08454FF9" w14:textId="0B99496F" w:rsidR="00AB5933" w:rsidRPr="001E1564" w:rsidRDefault="00AB5933" w:rsidP="001E1564">
                                <w:pPr>
                                  <w:pStyle w:val="Subtitle"/>
                                  <w:rPr>
                                    <w:lang w:eastAsia="en-GB"/>
                                  </w:rPr>
                                </w:pPr>
                                <w:r>
                                  <w:rPr>
                                    <w:lang w:eastAsia="en-GB"/>
                                  </w:rPr>
                                  <w:t>Growth Forum III, August 2019</w:t>
                                </w:r>
                              </w:p>
                            </w:txbxContent>
                          </wps:txbx>
                          <wps:bodyPr rot="0" spcFirstLastPara="0" vertOverflow="overflow" horzOverflow="overflow" vert="horz" wrap="square" lIns="1188720" tIns="45720" rIns="0" bIns="45720" numCol="1" spcCol="0" rtlCol="0" fromWordArt="0" anchor="t" anchorCtr="0" forceAA="0" compatLnSpc="1">
                            <a:prstTxWarp prst="textNoShape">
                              <a:avLst/>
                            </a:prstTxWarp>
                            <a:spAutoFit/>
                          </wps:bodyPr>
                        </wps:wsp>
                      </a:graphicData>
                    </a:graphic>
                    <wp14:sizeRelH relativeFrom="page">
                      <wp14:pctWidth>89000</wp14:pctWidth>
                    </wp14:sizeRelH>
                    <wp14:sizeRelV relativeFrom="margin">
                      <wp14:pctHeight>0</wp14:pctHeight>
                    </wp14:sizeRelV>
                  </wp:anchor>
                </w:drawing>
              </mc:Choice>
              <mc:Fallback>
                <w:pict>
                  <v:shape w14:anchorId="64BA1668" id="Text Box 38" o:spid="_x0000_s1027" type="#_x0000_t202" alt="Title: Title and subtitle" style="position:absolute;margin-left:0;margin-top:0;width:435.75pt;height:214.55pt;z-index:251659264;visibility:visible;mso-wrap-style:square;mso-width-percent:890;mso-height-percent:0;mso-top-percent:150;mso-wrap-distance-left:9pt;mso-wrap-distance-top:0;mso-wrap-distance-right:9pt;mso-wrap-distance-bottom:0;mso-position-horizontal:left;mso-position-horizontal-relative:page;mso-position-vertical-relative:page;mso-width-percent:890;mso-height-percent:0;mso-top-percent:150;mso-width-relative:page;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" filled="f" stroked="f" strokeweight=".5pt">
                    <v:textbox style="mso-fit-shape-to-text:t" inset="93.6pt,,0">
                      <w:txbxContent>
                        <w:sdt>
                          <w:sdtPr>
                            <w:rPr>
                              <w:rFonts w:asciiTheme="majorHAnsi" w:eastAsia="Times New Roman" w:hAnsiTheme="majorHAnsi" w:cstheme="majorBidi"/>
                              <w:spacing w:val="-10"/>
                              <w:kern w:val="28"/>
                              <w:sz w:val="56"/>
                              <w:szCs w:val="56"/>
                              <w:lang w:eastAsia="en-GB"/>
                            </w:rPr>
                            <w:alias w:val="Title"/>
                            <w:tag w:val=""/>
                            <w:id w:val="1666976605"/>
                            <w:dataBinding w:prefixMappings="xmlns:ns0='http://purl.org/dc/elements/1.1/' xmlns:ns1='http://schemas.openxmlformats.org/package/2006/metadata/core-properties' " w:xpath="/ns1:coreProperties[1]/ns0:title[1]" w:storeItemID="{6C3C8BC8-F283-45AE-878A-BAB7291924A1}"/>
                            <w15:appearance w15:val="hidden"/>
                            <w:text/>
                          </w:sdtPr>
                          <w:sdtContent>
                            <w:p w14:paraId="3A05B6DF" w14:textId="07DD1DEE" w:rsidR="00AB5933" w:rsidRDefault="00AB5933">
                              <w:pPr>
                                <w:pStyle w:val="NoSpacing"/>
                                <w:spacing w:after="900"/>
                                <w:rPr>
                                  <w:rFonts w:asciiTheme="majorHAnsi" w:hAnsiTheme="majorHAnsi"/>
                                  <w:i/>
                                  <w:caps/>
                                  <w:color w:val="262626" w:themeColor="text1" w:themeTint="D9"/>
                                  <w:sz w:val="120"/>
                                  <w:szCs w:val="120"/>
                                </w:rPr>
                              </w:pPr>
                              <w:r w:rsidRPr="001E1564">
                                <w:rPr>
                                  <w:rFonts w:asciiTheme="majorHAnsi" w:eastAsia="Times New Roman" w:hAnsiTheme="majorHAnsi" w:cstheme="majorBidi"/>
                                  <w:spacing w:val="-10"/>
                                  <w:kern w:val="28"/>
                                  <w:sz w:val="56"/>
                                  <w:szCs w:val="56"/>
                                  <w:lang w:eastAsia="en-GB"/>
                                </w:rPr>
                                <w:t>Determinants of growth, drivers and barriers to Uganda’s recent growth, and future strategies for inclusive growth</w:t>
                              </w:r>
                            </w:p>
                          </w:sdtContent>
                        </w:sdt>
                        <w:p w14:paraId="08454FF9" w14:textId="0B99496F" w:rsidR="00AB5933" w:rsidRPr="001E1564" w:rsidRDefault="00AB5933" w:rsidP="001E1564">
                          <w:pPr>
                            <w:pStyle w:val="Subtitle"/>
                            <w:rPr>
                              <w:lang w:eastAsia="en-GB"/>
                            </w:rPr>
                          </w:pPr>
                          <w:r>
                            <w:rPr>
                              <w:lang w:eastAsia="en-GB"/>
                            </w:rPr>
                            <w:t>Growth Forum III, August 2019</w:t>
                          </w:r>
                        </w:p>
                      </w:txbxContent>
                    </v:textbox>
                    <w10:wrap anchorx="page" anchory="page"/>
                  </v:shape>
                </w:pict>
              </mc:Fallback>
            </mc:AlternateContent>
          </w:r>
        </w:p>
        <w:p w14:paraId="3EBEA4FA" w14:textId="11CA61BA" w:rsidR="001E1564" w:rsidRDefault="001E1564">
          <w:r>
            <w:rPr>
              <w:rFonts w:asciiTheme="minorHAnsi" w:eastAsiaTheme="minorHAnsi" w:hAnsiTheme="minorHAnsi" w:cstheme="minorBidi"/>
            </w:rPr>
            <w:br w:type="page"/>
          </w:r>
        </w:p>
      </w:sdtContent>
    </w:sdt>
    <w:sdt>
      <w:sdtPr>
        <w:rPr>
          <w:rFonts w:ascii="Times New Roman" w:eastAsia="Times New Roman" w:hAnsi="Times New Roman" w:cs="Times New Roman"/>
          <w:b w:val="0"/>
          <w:bCs w:val="0"/>
          <w:color w:val="auto"/>
          <w:sz w:val="24"/>
          <w:szCs w:val="24"/>
          <w:lang w:val="en-GB" w:eastAsia="en-GB"/>
        </w:rPr>
        <w:id w:val="27930421"/>
        <w:docPartObj>
          <w:docPartGallery w:val="Table of Contents"/>
          <w:docPartUnique/>
        </w:docPartObj>
      </w:sdtPr>
      <w:sdtEndPr>
        <w:rPr>
          <w:noProof/>
        </w:rPr>
      </w:sdtEndPr>
      <w:sdtContent>
        <w:p w14:paraId="69727A8F" w14:textId="0207D079" w:rsidR="00ED007D" w:rsidRDefault="00ED007D">
          <w:pPr>
            <w:pStyle w:val="TOCHeading"/>
          </w:pPr>
          <w:r>
            <w:t>Table of Contents</w:t>
          </w:r>
        </w:p>
        <w:p w14:paraId="48129E0A" w14:textId="3CD6FFAE" w:rsidR="008A08FF" w:rsidRDefault="00ED007D">
          <w:pPr>
            <w:pStyle w:val="TOC1"/>
            <w:tabs>
              <w:tab w:val="right" w:leader="dot" w:pos="9010"/>
            </w:tabs>
            <w:rPr>
              <w:rFonts w:eastAsiaTheme="minorEastAsia"/>
              <w:b w:val="0"/>
              <w:bCs w:val="0"/>
              <w:i w:val="0"/>
              <w:iCs w:val="0"/>
              <w:noProof/>
              <w:lang w:eastAsia="en-GB"/>
            </w:rPr>
          </w:pPr>
          <w:r>
            <w:rPr>
              <w:b w:val="0"/>
              <w:bCs w:val="0"/>
            </w:rPr>
            <w:fldChar w:fldCharType="begin"/>
          </w:r>
          <w:r>
            <w:instrText xml:space="preserve"> TOC \o "1-3" \h \z \u </w:instrText>
          </w:r>
          <w:r>
            <w:rPr>
              <w:b w:val="0"/>
              <w:bCs w:val="0"/>
            </w:rPr>
            <w:fldChar w:fldCharType="separate"/>
          </w:r>
          <w:hyperlink w:anchor="_Toc16493258" w:history="1">
            <w:r w:rsidR="008A08FF" w:rsidRPr="00D02220">
              <w:rPr>
                <w:rStyle w:val="Hyperlink"/>
                <w:noProof/>
                <w:lang w:eastAsia="en-GB"/>
              </w:rPr>
              <w:t>Summary</w:t>
            </w:r>
            <w:r w:rsidR="008A08FF">
              <w:rPr>
                <w:noProof/>
                <w:webHidden/>
              </w:rPr>
              <w:tab/>
            </w:r>
            <w:r w:rsidR="008A08FF">
              <w:rPr>
                <w:noProof/>
                <w:webHidden/>
              </w:rPr>
              <w:fldChar w:fldCharType="begin"/>
            </w:r>
            <w:r w:rsidR="008A08FF">
              <w:rPr>
                <w:noProof/>
                <w:webHidden/>
              </w:rPr>
              <w:instrText xml:space="preserve"> PAGEREF _Toc16493258 \h </w:instrText>
            </w:r>
            <w:r w:rsidR="008A08FF">
              <w:rPr>
                <w:noProof/>
                <w:webHidden/>
              </w:rPr>
            </w:r>
            <w:r w:rsidR="008A08FF">
              <w:rPr>
                <w:noProof/>
                <w:webHidden/>
              </w:rPr>
              <w:fldChar w:fldCharType="separate"/>
            </w:r>
            <w:r w:rsidR="008A08FF">
              <w:rPr>
                <w:noProof/>
                <w:webHidden/>
              </w:rPr>
              <w:t>3</w:t>
            </w:r>
            <w:r w:rsidR="008A08FF">
              <w:rPr>
                <w:noProof/>
                <w:webHidden/>
              </w:rPr>
              <w:fldChar w:fldCharType="end"/>
            </w:r>
          </w:hyperlink>
        </w:p>
        <w:p w14:paraId="0D45CA1D" w14:textId="035FAE45" w:rsidR="008A08FF" w:rsidRDefault="008A08FF">
          <w:pPr>
            <w:pStyle w:val="TOC1"/>
            <w:tabs>
              <w:tab w:val="right" w:leader="dot" w:pos="9010"/>
            </w:tabs>
            <w:rPr>
              <w:rFonts w:eastAsiaTheme="minorEastAsia"/>
              <w:b w:val="0"/>
              <w:bCs w:val="0"/>
              <w:i w:val="0"/>
              <w:iCs w:val="0"/>
              <w:noProof/>
              <w:lang w:eastAsia="en-GB"/>
            </w:rPr>
          </w:pPr>
          <w:hyperlink w:anchor="_Toc16493259" w:history="1">
            <w:r w:rsidRPr="00D02220">
              <w:rPr>
                <w:rStyle w:val="Hyperlink"/>
                <w:noProof/>
                <w:lang w:eastAsia="en-GB"/>
              </w:rPr>
              <w:t>GDP Growth</w:t>
            </w:r>
            <w:r>
              <w:rPr>
                <w:noProof/>
                <w:webHidden/>
              </w:rPr>
              <w:tab/>
            </w:r>
            <w:r>
              <w:rPr>
                <w:noProof/>
                <w:webHidden/>
              </w:rPr>
              <w:fldChar w:fldCharType="begin"/>
            </w:r>
            <w:r>
              <w:rPr>
                <w:noProof/>
                <w:webHidden/>
              </w:rPr>
              <w:instrText xml:space="preserve"> PAGEREF _Toc16493259 \h </w:instrText>
            </w:r>
            <w:r>
              <w:rPr>
                <w:noProof/>
                <w:webHidden/>
              </w:rPr>
            </w:r>
            <w:r>
              <w:rPr>
                <w:noProof/>
                <w:webHidden/>
              </w:rPr>
              <w:fldChar w:fldCharType="separate"/>
            </w:r>
            <w:r>
              <w:rPr>
                <w:noProof/>
                <w:webHidden/>
              </w:rPr>
              <w:t>4</w:t>
            </w:r>
            <w:r>
              <w:rPr>
                <w:noProof/>
                <w:webHidden/>
              </w:rPr>
              <w:fldChar w:fldCharType="end"/>
            </w:r>
          </w:hyperlink>
        </w:p>
        <w:p w14:paraId="49678444" w14:textId="16ACF5F6" w:rsidR="008A08FF" w:rsidRDefault="008A08FF">
          <w:pPr>
            <w:pStyle w:val="TOC2"/>
            <w:tabs>
              <w:tab w:val="right" w:leader="dot" w:pos="9010"/>
            </w:tabs>
            <w:rPr>
              <w:rFonts w:eastAsiaTheme="minorEastAsia"/>
              <w:b w:val="0"/>
              <w:bCs w:val="0"/>
              <w:noProof/>
              <w:sz w:val="24"/>
              <w:szCs w:val="24"/>
              <w:lang w:eastAsia="en-GB"/>
            </w:rPr>
          </w:pPr>
          <w:hyperlink w:anchor="_Toc16493260" w:history="1">
            <w:r w:rsidRPr="00D02220">
              <w:rPr>
                <w:rStyle w:val="Hyperlink"/>
                <w:noProof/>
                <w:lang w:eastAsia="en-GB"/>
              </w:rPr>
              <w:t>Overview</w:t>
            </w:r>
            <w:r>
              <w:rPr>
                <w:noProof/>
                <w:webHidden/>
              </w:rPr>
              <w:tab/>
            </w:r>
            <w:r>
              <w:rPr>
                <w:noProof/>
                <w:webHidden/>
              </w:rPr>
              <w:fldChar w:fldCharType="begin"/>
            </w:r>
            <w:r>
              <w:rPr>
                <w:noProof/>
                <w:webHidden/>
              </w:rPr>
              <w:instrText xml:space="preserve"> PAGEREF _Toc16493260 \h </w:instrText>
            </w:r>
            <w:r>
              <w:rPr>
                <w:noProof/>
                <w:webHidden/>
              </w:rPr>
            </w:r>
            <w:r>
              <w:rPr>
                <w:noProof/>
                <w:webHidden/>
              </w:rPr>
              <w:fldChar w:fldCharType="separate"/>
            </w:r>
            <w:r>
              <w:rPr>
                <w:noProof/>
                <w:webHidden/>
              </w:rPr>
              <w:t>4</w:t>
            </w:r>
            <w:r>
              <w:rPr>
                <w:noProof/>
                <w:webHidden/>
              </w:rPr>
              <w:fldChar w:fldCharType="end"/>
            </w:r>
          </w:hyperlink>
        </w:p>
        <w:p w14:paraId="2349F45B" w14:textId="183D5006" w:rsidR="008A08FF" w:rsidRDefault="008A08FF">
          <w:pPr>
            <w:pStyle w:val="TOC2"/>
            <w:tabs>
              <w:tab w:val="right" w:leader="dot" w:pos="9010"/>
            </w:tabs>
            <w:rPr>
              <w:rFonts w:eastAsiaTheme="minorEastAsia"/>
              <w:b w:val="0"/>
              <w:bCs w:val="0"/>
              <w:noProof/>
              <w:sz w:val="24"/>
              <w:szCs w:val="24"/>
              <w:lang w:eastAsia="en-GB"/>
            </w:rPr>
          </w:pPr>
          <w:hyperlink w:anchor="_Toc16493261" w:history="1">
            <w:r w:rsidRPr="00D02220">
              <w:rPr>
                <w:rStyle w:val="Hyperlink"/>
                <w:noProof/>
                <w:lang w:eastAsia="en-GB"/>
              </w:rPr>
              <w:t>Comparison with select EAC Partner States</w:t>
            </w:r>
            <w:r>
              <w:rPr>
                <w:noProof/>
                <w:webHidden/>
              </w:rPr>
              <w:tab/>
            </w:r>
            <w:r>
              <w:rPr>
                <w:noProof/>
                <w:webHidden/>
              </w:rPr>
              <w:fldChar w:fldCharType="begin"/>
            </w:r>
            <w:r>
              <w:rPr>
                <w:noProof/>
                <w:webHidden/>
              </w:rPr>
              <w:instrText xml:space="preserve"> PAGEREF _Toc16493261 \h </w:instrText>
            </w:r>
            <w:r>
              <w:rPr>
                <w:noProof/>
                <w:webHidden/>
              </w:rPr>
            </w:r>
            <w:r>
              <w:rPr>
                <w:noProof/>
                <w:webHidden/>
              </w:rPr>
              <w:fldChar w:fldCharType="separate"/>
            </w:r>
            <w:r>
              <w:rPr>
                <w:noProof/>
                <w:webHidden/>
              </w:rPr>
              <w:t>4</w:t>
            </w:r>
            <w:r>
              <w:rPr>
                <w:noProof/>
                <w:webHidden/>
              </w:rPr>
              <w:fldChar w:fldCharType="end"/>
            </w:r>
          </w:hyperlink>
        </w:p>
        <w:p w14:paraId="672FFDC1" w14:textId="78EEC93E" w:rsidR="008A08FF" w:rsidRDefault="008A08FF">
          <w:pPr>
            <w:pStyle w:val="TOC3"/>
            <w:tabs>
              <w:tab w:val="right" w:leader="dot" w:pos="9010"/>
            </w:tabs>
            <w:rPr>
              <w:rFonts w:eastAsiaTheme="minorEastAsia"/>
              <w:noProof/>
              <w:sz w:val="24"/>
              <w:szCs w:val="24"/>
              <w:lang w:eastAsia="en-GB"/>
            </w:rPr>
          </w:pPr>
          <w:hyperlink w:anchor="_Toc16493262" w:history="1">
            <w:r w:rsidRPr="00D02220">
              <w:rPr>
                <w:rStyle w:val="Hyperlink"/>
                <w:noProof/>
                <w:lang w:eastAsia="en-GB"/>
              </w:rPr>
              <w:t>Kenya</w:t>
            </w:r>
            <w:r>
              <w:rPr>
                <w:noProof/>
                <w:webHidden/>
              </w:rPr>
              <w:tab/>
            </w:r>
            <w:r>
              <w:rPr>
                <w:noProof/>
                <w:webHidden/>
              </w:rPr>
              <w:fldChar w:fldCharType="begin"/>
            </w:r>
            <w:r>
              <w:rPr>
                <w:noProof/>
                <w:webHidden/>
              </w:rPr>
              <w:instrText xml:space="preserve"> PAGEREF _Toc16493262 \h </w:instrText>
            </w:r>
            <w:r>
              <w:rPr>
                <w:noProof/>
                <w:webHidden/>
              </w:rPr>
            </w:r>
            <w:r>
              <w:rPr>
                <w:noProof/>
                <w:webHidden/>
              </w:rPr>
              <w:fldChar w:fldCharType="separate"/>
            </w:r>
            <w:r>
              <w:rPr>
                <w:noProof/>
                <w:webHidden/>
              </w:rPr>
              <w:t>4</w:t>
            </w:r>
            <w:r>
              <w:rPr>
                <w:noProof/>
                <w:webHidden/>
              </w:rPr>
              <w:fldChar w:fldCharType="end"/>
            </w:r>
          </w:hyperlink>
        </w:p>
        <w:p w14:paraId="3726C5E2" w14:textId="624FAD21" w:rsidR="008A08FF" w:rsidRDefault="008A08FF">
          <w:pPr>
            <w:pStyle w:val="TOC3"/>
            <w:tabs>
              <w:tab w:val="right" w:leader="dot" w:pos="9010"/>
            </w:tabs>
            <w:rPr>
              <w:rFonts w:eastAsiaTheme="minorEastAsia"/>
              <w:noProof/>
              <w:sz w:val="24"/>
              <w:szCs w:val="24"/>
              <w:lang w:eastAsia="en-GB"/>
            </w:rPr>
          </w:pPr>
          <w:hyperlink w:anchor="_Toc16493263" w:history="1">
            <w:r w:rsidRPr="00D02220">
              <w:rPr>
                <w:rStyle w:val="Hyperlink"/>
                <w:noProof/>
                <w:lang w:eastAsia="en-GB"/>
              </w:rPr>
              <w:t>Tanzania</w:t>
            </w:r>
            <w:r>
              <w:rPr>
                <w:noProof/>
                <w:webHidden/>
              </w:rPr>
              <w:tab/>
            </w:r>
            <w:r>
              <w:rPr>
                <w:noProof/>
                <w:webHidden/>
              </w:rPr>
              <w:fldChar w:fldCharType="begin"/>
            </w:r>
            <w:r>
              <w:rPr>
                <w:noProof/>
                <w:webHidden/>
              </w:rPr>
              <w:instrText xml:space="preserve"> PAGEREF _Toc16493263 \h </w:instrText>
            </w:r>
            <w:r>
              <w:rPr>
                <w:noProof/>
                <w:webHidden/>
              </w:rPr>
            </w:r>
            <w:r>
              <w:rPr>
                <w:noProof/>
                <w:webHidden/>
              </w:rPr>
              <w:fldChar w:fldCharType="separate"/>
            </w:r>
            <w:r>
              <w:rPr>
                <w:noProof/>
                <w:webHidden/>
              </w:rPr>
              <w:t>5</w:t>
            </w:r>
            <w:r>
              <w:rPr>
                <w:noProof/>
                <w:webHidden/>
              </w:rPr>
              <w:fldChar w:fldCharType="end"/>
            </w:r>
          </w:hyperlink>
        </w:p>
        <w:p w14:paraId="658230BD" w14:textId="400D23CC" w:rsidR="008A08FF" w:rsidRDefault="008A08FF">
          <w:pPr>
            <w:pStyle w:val="TOC3"/>
            <w:tabs>
              <w:tab w:val="right" w:leader="dot" w:pos="9010"/>
            </w:tabs>
            <w:rPr>
              <w:rFonts w:eastAsiaTheme="minorEastAsia"/>
              <w:noProof/>
              <w:sz w:val="24"/>
              <w:szCs w:val="24"/>
              <w:lang w:eastAsia="en-GB"/>
            </w:rPr>
          </w:pPr>
          <w:hyperlink w:anchor="_Toc16493264" w:history="1">
            <w:r w:rsidRPr="00D02220">
              <w:rPr>
                <w:rStyle w:val="Hyperlink"/>
                <w:noProof/>
                <w:lang w:eastAsia="en-GB"/>
              </w:rPr>
              <w:t>Rwanda</w:t>
            </w:r>
            <w:r>
              <w:rPr>
                <w:noProof/>
                <w:webHidden/>
              </w:rPr>
              <w:tab/>
            </w:r>
            <w:r>
              <w:rPr>
                <w:noProof/>
                <w:webHidden/>
              </w:rPr>
              <w:fldChar w:fldCharType="begin"/>
            </w:r>
            <w:r>
              <w:rPr>
                <w:noProof/>
                <w:webHidden/>
              </w:rPr>
              <w:instrText xml:space="preserve"> PAGEREF _Toc16493264 \h </w:instrText>
            </w:r>
            <w:r>
              <w:rPr>
                <w:noProof/>
                <w:webHidden/>
              </w:rPr>
            </w:r>
            <w:r>
              <w:rPr>
                <w:noProof/>
                <w:webHidden/>
              </w:rPr>
              <w:fldChar w:fldCharType="separate"/>
            </w:r>
            <w:r>
              <w:rPr>
                <w:noProof/>
                <w:webHidden/>
              </w:rPr>
              <w:t>5</w:t>
            </w:r>
            <w:r>
              <w:rPr>
                <w:noProof/>
                <w:webHidden/>
              </w:rPr>
              <w:fldChar w:fldCharType="end"/>
            </w:r>
          </w:hyperlink>
        </w:p>
        <w:p w14:paraId="4E94A0FF" w14:textId="4A760A42" w:rsidR="008A08FF" w:rsidRDefault="008A08FF">
          <w:pPr>
            <w:pStyle w:val="TOC3"/>
            <w:tabs>
              <w:tab w:val="right" w:leader="dot" w:pos="9010"/>
            </w:tabs>
            <w:rPr>
              <w:rFonts w:eastAsiaTheme="minorEastAsia"/>
              <w:noProof/>
              <w:sz w:val="24"/>
              <w:szCs w:val="24"/>
              <w:lang w:eastAsia="en-GB"/>
            </w:rPr>
          </w:pPr>
          <w:hyperlink w:anchor="_Toc16493265" w:history="1">
            <w:r w:rsidRPr="00D02220">
              <w:rPr>
                <w:rStyle w:val="Hyperlink"/>
                <w:noProof/>
                <w:lang w:eastAsia="en-GB"/>
              </w:rPr>
              <w:t>Uganda</w:t>
            </w:r>
            <w:r>
              <w:rPr>
                <w:noProof/>
                <w:webHidden/>
              </w:rPr>
              <w:tab/>
            </w:r>
            <w:r>
              <w:rPr>
                <w:noProof/>
                <w:webHidden/>
              </w:rPr>
              <w:fldChar w:fldCharType="begin"/>
            </w:r>
            <w:r>
              <w:rPr>
                <w:noProof/>
                <w:webHidden/>
              </w:rPr>
              <w:instrText xml:space="preserve"> PAGEREF _Toc16493265 \h </w:instrText>
            </w:r>
            <w:r>
              <w:rPr>
                <w:noProof/>
                <w:webHidden/>
              </w:rPr>
            </w:r>
            <w:r>
              <w:rPr>
                <w:noProof/>
                <w:webHidden/>
              </w:rPr>
              <w:fldChar w:fldCharType="separate"/>
            </w:r>
            <w:r>
              <w:rPr>
                <w:noProof/>
                <w:webHidden/>
              </w:rPr>
              <w:t>5</w:t>
            </w:r>
            <w:r>
              <w:rPr>
                <w:noProof/>
                <w:webHidden/>
              </w:rPr>
              <w:fldChar w:fldCharType="end"/>
            </w:r>
          </w:hyperlink>
        </w:p>
        <w:p w14:paraId="36F1246A" w14:textId="582C20F3" w:rsidR="008A08FF" w:rsidRDefault="008A08FF">
          <w:pPr>
            <w:pStyle w:val="TOC2"/>
            <w:tabs>
              <w:tab w:val="right" w:leader="dot" w:pos="9010"/>
            </w:tabs>
            <w:rPr>
              <w:rFonts w:eastAsiaTheme="minorEastAsia"/>
              <w:b w:val="0"/>
              <w:bCs w:val="0"/>
              <w:noProof/>
              <w:sz w:val="24"/>
              <w:szCs w:val="24"/>
              <w:lang w:eastAsia="en-GB"/>
            </w:rPr>
          </w:pPr>
          <w:hyperlink w:anchor="_Toc16493266" w:history="1">
            <w:r w:rsidRPr="00D02220">
              <w:rPr>
                <w:rStyle w:val="Hyperlink"/>
                <w:noProof/>
                <w:lang w:val="en-US" w:eastAsia="en-GB"/>
              </w:rPr>
              <w:t>GDP growth performance in Sub-Saharan Africa</w:t>
            </w:r>
            <w:r>
              <w:rPr>
                <w:noProof/>
                <w:webHidden/>
              </w:rPr>
              <w:tab/>
            </w:r>
            <w:r>
              <w:rPr>
                <w:noProof/>
                <w:webHidden/>
              </w:rPr>
              <w:fldChar w:fldCharType="begin"/>
            </w:r>
            <w:r>
              <w:rPr>
                <w:noProof/>
                <w:webHidden/>
              </w:rPr>
              <w:instrText xml:space="preserve"> PAGEREF _Toc16493266 \h </w:instrText>
            </w:r>
            <w:r>
              <w:rPr>
                <w:noProof/>
                <w:webHidden/>
              </w:rPr>
            </w:r>
            <w:r>
              <w:rPr>
                <w:noProof/>
                <w:webHidden/>
              </w:rPr>
              <w:fldChar w:fldCharType="separate"/>
            </w:r>
            <w:r>
              <w:rPr>
                <w:noProof/>
                <w:webHidden/>
              </w:rPr>
              <w:t>6</w:t>
            </w:r>
            <w:r>
              <w:rPr>
                <w:noProof/>
                <w:webHidden/>
              </w:rPr>
              <w:fldChar w:fldCharType="end"/>
            </w:r>
          </w:hyperlink>
        </w:p>
        <w:p w14:paraId="5C0EBED0" w14:textId="6B452448" w:rsidR="008A08FF" w:rsidRDefault="008A08FF">
          <w:pPr>
            <w:pStyle w:val="TOC1"/>
            <w:tabs>
              <w:tab w:val="right" w:leader="dot" w:pos="9010"/>
            </w:tabs>
            <w:rPr>
              <w:rFonts w:eastAsiaTheme="minorEastAsia"/>
              <w:b w:val="0"/>
              <w:bCs w:val="0"/>
              <w:i w:val="0"/>
              <w:iCs w:val="0"/>
              <w:noProof/>
              <w:lang w:eastAsia="en-GB"/>
            </w:rPr>
          </w:pPr>
          <w:hyperlink w:anchor="_Toc16493267" w:history="1">
            <w:r w:rsidRPr="00D02220">
              <w:rPr>
                <w:rStyle w:val="Hyperlink"/>
                <w:noProof/>
                <w:lang w:eastAsia="en-GB"/>
              </w:rPr>
              <w:t>Determinants of growth</w:t>
            </w:r>
            <w:r>
              <w:rPr>
                <w:noProof/>
                <w:webHidden/>
              </w:rPr>
              <w:tab/>
            </w:r>
            <w:r>
              <w:rPr>
                <w:noProof/>
                <w:webHidden/>
              </w:rPr>
              <w:fldChar w:fldCharType="begin"/>
            </w:r>
            <w:r>
              <w:rPr>
                <w:noProof/>
                <w:webHidden/>
              </w:rPr>
              <w:instrText xml:space="preserve"> PAGEREF _Toc16493267 \h </w:instrText>
            </w:r>
            <w:r>
              <w:rPr>
                <w:noProof/>
                <w:webHidden/>
              </w:rPr>
            </w:r>
            <w:r>
              <w:rPr>
                <w:noProof/>
                <w:webHidden/>
              </w:rPr>
              <w:fldChar w:fldCharType="separate"/>
            </w:r>
            <w:r>
              <w:rPr>
                <w:noProof/>
                <w:webHidden/>
              </w:rPr>
              <w:t>8</w:t>
            </w:r>
            <w:r>
              <w:rPr>
                <w:noProof/>
                <w:webHidden/>
              </w:rPr>
              <w:fldChar w:fldCharType="end"/>
            </w:r>
          </w:hyperlink>
        </w:p>
        <w:p w14:paraId="3CBB1644" w14:textId="3C60337F" w:rsidR="008A08FF" w:rsidRDefault="008A08FF">
          <w:pPr>
            <w:pStyle w:val="TOC2"/>
            <w:tabs>
              <w:tab w:val="right" w:leader="dot" w:pos="9010"/>
            </w:tabs>
            <w:rPr>
              <w:rFonts w:eastAsiaTheme="minorEastAsia"/>
              <w:b w:val="0"/>
              <w:bCs w:val="0"/>
              <w:noProof/>
              <w:sz w:val="24"/>
              <w:szCs w:val="24"/>
              <w:lang w:eastAsia="en-GB"/>
            </w:rPr>
          </w:pPr>
          <w:hyperlink w:anchor="_Toc16493268" w:history="1">
            <w:r w:rsidRPr="00D02220">
              <w:rPr>
                <w:rStyle w:val="Hyperlink"/>
                <w:noProof/>
              </w:rPr>
              <w:t>Case study: Economic complexity</w:t>
            </w:r>
            <w:r>
              <w:rPr>
                <w:noProof/>
                <w:webHidden/>
              </w:rPr>
              <w:tab/>
            </w:r>
            <w:r>
              <w:rPr>
                <w:noProof/>
                <w:webHidden/>
              </w:rPr>
              <w:fldChar w:fldCharType="begin"/>
            </w:r>
            <w:r>
              <w:rPr>
                <w:noProof/>
                <w:webHidden/>
              </w:rPr>
              <w:instrText xml:space="preserve"> PAGEREF _Toc16493268 \h </w:instrText>
            </w:r>
            <w:r>
              <w:rPr>
                <w:noProof/>
                <w:webHidden/>
              </w:rPr>
            </w:r>
            <w:r>
              <w:rPr>
                <w:noProof/>
                <w:webHidden/>
              </w:rPr>
              <w:fldChar w:fldCharType="separate"/>
            </w:r>
            <w:r>
              <w:rPr>
                <w:noProof/>
                <w:webHidden/>
              </w:rPr>
              <w:t>9</w:t>
            </w:r>
            <w:r>
              <w:rPr>
                <w:noProof/>
                <w:webHidden/>
              </w:rPr>
              <w:fldChar w:fldCharType="end"/>
            </w:r>
          </w:hyperlink>
        </w:p>
        <w:p w14:paraId="70520D56" w14:textId="1BEC6F6E" w:rsidR="008A08FF" w:rsidRDefault="008A08FF">
          <w:pPr>
            <w:pStyle w:val="TOC1"/>
            <w:tabs>
              <w:tab w:val="right" w:leader="dot" w:pos="9010"/>
            </w:tabs>
            <w:rPr>
              <w:rFonts w:eastAsiaTheme="minorEastAsia"/>
              <w:b w:val="0"/>
              <w:bCs w:val="0"/>
              <w:i w:val="0"/>
              <w:iCs w:val="0"/>
              <w:noProof/>
              <w:lang w:eastAsia="en-GB"/>
            </w:rPr>
          </w:pPr>
          <w:hyperlink w:anchor="_Toc16493269" w:history="1">
            <w:r w:rsidRPr="00D02220">
              <w:rPr>
                <w:rStyle w:val="Hyperlink"/>
                <w:noProof/>
                <w:lang w:eastAsia="en-GB"/>
              </w:rPr>
              <w:t>Barriers to growth</w:t>
            </w:r>
            <w:r>
              <w:rPr>
                <w:noProof/>
                <w:webHidden/>
              </w:rPr>
              <w:tab/>
            </w:r>
            <w:r>
              <w:rPr>
                <w:noProof/>
                <w:webHidden/>
              </w:rPr>
              <w:fldChar w:fldCharType="begin"/>
            </w:r>
            <w:r>
              <w:rPr>
                <w:noProof/>
                <w:webHidden/>
              </w:rPr>
              <w:instrText xml:space="preserve"> PAGEREF _Toc16493269 \h </w:instrText>
            </w:r>
            <w:r>
              <w:rPr>
                <w:noProof/>
                <w:webHidden/>
              </w:rPr>
            </w:r>
            <w:r>
              <w:rPr>
                <w:noProof/>
                <w:webHidden/>
              </w:rPr>
              <w:fldChar w:fldCharType="separate"/>
            </w:r>
            <w:r>
              <w:rPr>
                <w:noProof/>
                <w:webHidden/>
              </w:rPr>
              <w:t>12</w:t>
            </w:r>
            <w:r>
              <w:rPr>
                <w:noProof/>
                <w:webHidden/>
              </w:rPr>
              <w:fldChar w:fldCharType="end"/>
            </w:r>
          </w:hyperlink>
        </w:p>
        <w:p w14:paraId="16D685E5" w14:textId="3C8DDD5F" w:rsidR="008A08FF" w:rsidRDefault="008A08FF">
          <w:pPr>
            <w:pStyle w:val="TOC2"/>
            <w:tabs>
              <w:tab w:val="right" w:leader="dot" w:pos="9010"/>
            </w:tabs>
            <w:rPr>
              <w:rFonts w:eastAsiaTheme="minorEastAsia"/>
              <w:b w:val="0"/>
              <w:bCs w:val="0"/>
              <w:noProof/>
              <w:sz w:val="24"/>
              <w:szCs w:val="24"/>
              <w:lang w:eastAsia="en-GB"/>
            </w:rPr>
          </w:pPr>
          <w:hyperlink w:anchor="_Toc16493270" w:history="1">
            <w:r w:rsidRPr="00D02220">
              <w:rPr>
                <w:rStyle w:val="Hyperlink"/>
                <w:noProof/>
              </w:rPr>
              <w:t>Poverty and income inequality</w:t>
            </w:r>
            <w:r>
              <w:rPr>
                <w:noProof/>
                <w:webHidden/>
              </w:rPr>
              <w:tab/>
            </w:r>
            <w:r>
              <w:rPr>
                <w:noProof/>
                <w:webHidden/>
              </w:rPr>
              <w:fldChar w:fldCharType="begin"/>
            </w:r>
            <w:r>
              <w:rPr>
                <w:noProof/>
                <w:webHidden/>
              </w:rPr>
              <w:instrText xml:space="preserve"> PAGEREF _Toc16493270 \h </w:instrText>
            </w:r>
            <w:r>
              <w:rPr>
                <w:noProof/>
                <w:webHidden/>
              </w:rPr>
            </w:r>
            <w:r>
              <w:rPr>
                <w:noProof/>
                <w:webHidden/>
              </w:rPr>
              <w:fldChar w:fldCharType="separate"/>
            </w:r>
            <w:r>
              <w:rPr>
                <w:noProof/>
                <w:webHidden/>
              </w:rPr>
              <w:t>12</w:t>
            </w:r>
            <w:r>
              <w:rPr>
                <w:noProof/>
                <w:webHidden/>
              </w:rPr>
              <w:fldChar w:fldCharType="end"/>
            </w:r>
          </w:hyperlink>
        </w:p>
        <w:p w14:paraId="3EDB5A2A" w14:textId="36241F1E" w:rsidR="008A08FF" w:rsidRDefault="008A08FF">
          <w:pPr>
            <w:pStyle w:val="TOC2"/>
            <w:tabs>
              <w:tab w:val="right" w:leader="dot" w:pos="9010"/>
            </w:tabs>
            <w:rPr>
              <w:rFonts w:eastAsiaTheme="minorEastAsia"/>
              <w:b w:val="0"/>
              <w:bCs w:val="0"/>
              <w:noProof/>
              <w:sz w:val="24"/>
              <w:szCs w:val="24"/>
              <w:lang w:eastAsia="en-GB"/>
            </w:rPr>
          </w:pPr>
          <w:hyperlink w:anchor="_Toc16493271" w:history="1">
            <w:r w:rsidRPr="00D02220">
              <w:rPr>
                <w:rStyle w:val="Hyperlink"/>
                <w:noProof/>
              </w:rPr>
              <w:t>GDP per capita</w:t>
            </w:r>
            <w:r>
              <w:rPr>
                <w:noProof/>
                <w:webHidden/>
              </w:rPr>
              <w:tab/>
            </w:r>
            <w:r>
              <w:rPr>
                <w:noProof/>
                <w:webHidden/>
              </w:rPr>
              <w:fldChar w:fldCharType="begin"/>
            </w:r>
            <w:r>
              <w:rPr>
                <w:noProof/>
                <w:webHidden/>
              </w:rPr>
              <w:instrText xml:space="preserve"> PAGEREF _Toc16493271 \h </w:instrText>
            </w:r>
            <w:r>
              <w:rPr>
                <w:noProof/>
                <w:webHidden/>
              </w:rPr>
            </w:r>
            <w:r>
              <w:rPr>
                <w:noProof/>
                <w:webHidden/>
              </w:rPr>
              <w:fldChar w:fldCharType="separate"/>
            </w:r>
            <w:r>
              <w:rPr>
                <w:noProof/>
                <w:webHidden/>
              </w:rPr>
              <w:t>13</w:t>
            </w:r>
            <w:r>
              <w:rPr>
                <w:noProof/>
                <w:webHidden/>
              </w:rPr>
              <w:fldChar w:fldCharType="end"/>
            </w:r>
          </w:hyperlink>
        </w:p>
        <w:p w14:paraId="001ECB0A" w14:textId="79D315A1" w:rsidR="008A08FF" w:rsidRDefault="008A08FF">
          <w:pPr>
            <w:pStyle w:val="TOC2"/>
            <w:tabs>
              <w:tab w:val="right" w:leader="dot" w:pos="9010"/>
            </w:tabs>
            <w:rPr>
              <w:rFonts w:eastAsiaTheme="minorEastAsia"/>
              <w:b w:val="0"/>
              <w:bCs w:val="0"/>
              <w:noProof/>
              <w:sz w:val="24"/>
              <w:szCs w:val="24"/>
              <w:lang w:eastAsia="en-GB"/>
            </w:rPr>
          </w:pPr>
          <w:hyperlink w:anchor="_Toc16493272" w:history="1">
            <w:r w:rsidRPr="00D02220">
              <w:rPr>
                <w:rStyle w:val="Hyperlink"/>
                <w:noProof/>
              </w:rPr>
              <w:t>Comparison of GDP per capita amongst EAC Partner States</w:t>
            </w:r>
            <w:r>
              <w:rPr>
                <w:noProof/>
                <w:webHidden/>
              </w:rPr>
              <w:tab/>
            </w:r>
            <w:r>
              <w:rPr>
                <w:noProof/>
                <w:webHidden/>
              </w:rPr>
              <w:fldChar w:fldCharType="begin"/>
            </w:r>
            <w:r>
              <w:rPr>
                <w:noProof/>
                <w:webHidden/>
              </w:rPr>
              <w:instrText xml:space="preserve"> PAGEREF _Toc16493272 \h </w:instrText>
            </w:r>
            <w:r>
              <w:rPr>
                <w:noProof/>
                <w:webHidden/>
              </w:rPr>
            </w:r>
            <w:r>
              <w:rPr>
                <w:noProof/>
                <w:webHidden/>
              </w:rPr>
              <w:fldChar w:fldCharType="separate"/>
            </w:r>
            <w:r>
              <w:rPr>
                <w:noProof/>
                <w:webHidden/>
              </w:rPr>
              <w:t>13</w:t>
            </w:r>
            <w:r>
              <w:rPr>
                <w:noProof/>
                <w:webHidden/>
              </w:rPr>
              <w:fldChar w:fldCharType="end"/>
            </w:r>
          </w:hyperlink>
        </w:p>
        <w:p w14:paraId="385FE093" w14:textId="404B3024" w:rsidR="008A08FF" w:rsidRDefault="008A08FF">
          <w:pPr>
            <w:pStyle w:val="TOC2"/>
            <w:tabs>
              <w:tab w:val="right" w:leader="dot" w:pos="9010"/>
            </w:tabs>
            <w:rPr>
              <w:rFonts w:eastAsiaTheme="minorEastAsia"/>
              <w:b w:val="0"/>
              <w:bCs w:val="0"/>
              <w:noProof/>
              <w:sz w:val="24"/>
              <w:szCs w:val="24"/>
              <w:lang w:eastAsia="en-GB"/>
            </w:rPr>
          </w:pPr>
          <w:hyperlink w:anchor="_Toc16493273" w:history="1">
            <w:r w:rsidRPr="00D02220">
              <w:rPr>
                <w:rStyle w:val="Hyperlink"/>
                <w:noProof/>
              </w:rPr>
              <w:t>National investment</w:t>
            </w:r>
            <w:r>
              <w:rPr>
                <w:noProof/>
                <w:webHidden/>
              </w:rPr>
              <w:tab/>
            </w:r>
            <w:r>
              <w:rPr>
                <w:noProof/>
                <w:webHidden/>
              </w:rPr>
              <w:fldChar w:fldCharType="begin"/>
            </w:r>
            <w:r>
              <w:rPr>
                <w:noProof/>
                <w:webHidden/>
              </w:rPr>
              <w:instrText xml:space="preserve"> PAGEREF _Toc16493273 \h </w:instrText>
            </w:r>
            <w:r>
              <w:rPr>
                <w:noProof/>
                <w:webHidden/>
              </w:rPr>
            </w:r>
            <w:r>
              <w:rPr>
                <w:noProof/>
                <w:webHidden/>
              </w:rPr>
              <w:fldChar w:fldCharType="separate"/>
            </w:r>
            <w:r>
              <w:rPr>
                <w:noProof/>
                <w:webHidden/>
              </w:rPr>
              <w:t>14</w:t>
            </w:r>
            <w:r>
              <w:rPr>
                <w:noProof/>
                <w:webHidden/>
              </w:rPr>
              <w:fldChar w:fldCharType="end"/>
            </w:r>
          </w:hyperlink>
        </w:p>
        <w:p w14:paraId="51374C1B" w14:textId="07C0A164" w:rsidR="008A08FF" w:rsidRDefault="008A08FF">
          <w:pPr>
            <w:pStyle w:val="TOC1"/>
            <w:tabs>
              <w:tab w:val="right" w:leader="dot" w:pos="9010"/>
            </w:tabs>
            <w:rPr>
              <w:rFonts w:eastAsiaTheme="minorEastAsia"/>
              <w:b w:val="0"/>
              <w:bCs w:val="0"/>
              <w:i w:val="0"/>
              <w:iCs w:val="0"/>
              <w:noProof/>
              <w:lang w:eastAsia="en-GB"/>
            </w:rPr>
          </w:pPr>
          <w:hyperlink w:anchor="_Toc16493274" w:history="1">
            <w:r w:rsidRPr="00D02220">
              <w:rPr>
                <w:rStyle w:val="Hyperlink"/>
                <w:noProof/>
                <w:lang w:eastAsia="en-GB"/>
              </w:rPr>
              <w:t>Government’s growth strategy</w:t>
            </w:r>
            <w:r>
              <w:rPr>
                <w:noProof/>
                <w:webHidden/>
              </w:rPr>
              <w:tab/>
            </w:r>
            <w:r>
              <w:rPr>
                <w:noProof/>
                <w:webHidden/>
              </w:rPr>
              <w:fldChar w:fldCharType="begin"/>
            </w:r>
            <w:r>
              <w:rPr>
                <w:noProof/>
                <w:webHidden/>
              </w:rPr>
              <w:instrText xml:space="preserve"> PAGEREF _Toc16493274 \h </w:instrText>
            </w:r>
            <w:r>
              <w:rPr>
                <w:noProof/>
                <w:webHidden/>
              </w:rPr>
            </w:r>
            <w:r>
              <w:rPr>
                <w:noProof/>
                <w:webHidden/>
              </w:rPr>
              <w:fldChar w:fldCharType="separate"/>
            </w:r>
            <w:r>
              <w:rPr>
                <w:noProof/>
                <w:webHidden/>
              </w:rPr>
              <w:t>16</w:t>
            </w:r>
            <w:r>
              <w:rPr>
                <w:noProof/>
                <w:webHidden/>
              </w:rPr>
              <w:fldChar w:fldCharType="end"/>
            </w:r>
          </w:hyperlink>
        </w:p>
        <w:p w14:paraId="516F94D4" w14:textId="37038118" w:rsidR="008A08FF" w:rsidRDefault="008A08FF">
          <w:pPr>
            <w:pStyle w:val="TOC3"/>
            <w:tabs>
              <w:tab w:val="right" w:leader="dot" w:pos="9010"/>
            </w:tabs>
            <w:rPr>
              <w:rFonts w:eastAsiaTheme="minorEastAsia"/>
              <w:noProof/>
              <w:sz w:val="24"/>
              <w:szCs w:val="24"/>
              <w:lang w:eastAsia="en-GB"/>
            </w:rPr>
          </w:pPr>
          <w:hyperlink w:anchor="_Toc16493275" w:history="1">
            <w:r w:rsidRPr="00D02220">
              <w:rPr>
                <w:rStyle w:val="Hyperlink"/>
                <w:noProof/>
              </w:rPr>
              <w:t>Expanding the industrial base of the economy</w:t>
            </w:r>
            <w:r>
              <w:rPr>
                <w:noProof/>
                <w:webHidden/>
              </w:rPr>
              <w:tab/>
            </w:r>
            <w:r>
              <w:rPr>
                <w:noProof/>
                <w:webHidden/>
              </w:rPr>
              <w:fldChar w:fldCharType="begin"/>
            </w:r>
            <w:r>
              <w:rPr>
                <w:noProof/>
                <w:webHidden/>
              </w:rPr>
              <w:instrText xml:space="preserve"> PAGEREF _Toc16493275 \h </w:instrText>
            </w:r>
            <w:r>
              <w:rPr>
                <w:noProof/>
                <w:webHidden/>
              </w:rPr>
            </w:r>
            <w:r>
              <w:rPr>
                <w:noProof/>
                <w:webHidden/>
              </w:rPr>
              <w:fldChar w:fldCharType="separate"/>
            </w:r>
            <w:r>
              <w:rPr>
                <w:noProof/>
                <w:webHidden/>
              </w:rPr>
              <w:t>16</w:t>
            </w:r>
            <w:r>
              <w:rPr>
                <w:noProof/>
                <w:webHidden/>
              </w:rPr>
              <w:fldChar w:fldCharType="end"/>
            </w:r>
          </w:hyperlink>
        </w:p>
        <w:p w14:paraId="40AD6DDF" w14:textId="02322CAB" w:rsidR="008A08FF" w:rsidRDefault="008A08FF">
          <w:pPr>
            <w:pStyle w:val="TOC3"/>
            <w:tabs>
              <w:tab w:val="right" w:leader="dot" w:pos="9010"/>
            </w:tabs>
            <w:rPr>
              <w:rFonts w:eastAsiaTheme="minorEastAsia"/>
              <w:noProof/>
              <w:sz w:val="24"/>
              <w:szCs w:val="24"/>
              <w:lang w:eastAsia="en-GB"/>
            </w:rPr>
          </w:pPr>
          <w:hyperlink w:anchor="_Toc16493276" w:history="1">
            <w:r w:rsidRPr="00D02220">
              <w:rPr>
                <w:rStyle w:val="Hyperlink"/>
                <w:noProof/>
              </w:rPr>
              <w:t>Exploiting natural resource endowments with environmental protection in mind</w:t>
            </w:r>
            <w:r>
              <w:rPr>
                <w:noProof/>
                <w:webHidden/>
              </w:rPr>
              <w:tab/>
            </w:r>
            <w:r>
              <w:rPr>
                <w:noProof/>
                <w:webHidden/>
              </w:rPr>
              <w:fldChar w:fldCharType="begin"/>
            </w:r>
            <w:r>
              <w:rPr>
                <w:noProof/>
                <w:webHidden/>
              </w:rPr>
              <w:instrText xml:space="preserve"> PAGEREF _Toc16493276 \h </w:instrText>
            </w:r>
            <w:r>
              <w:rPr>
                <w:noProof/>
                <w:webHidden/>
              </w:rPr>
            </w:r>
            <w:r>
              <w:rPr>
                <w:noProof/>
                <w:webHidden/>
              </w:rPr>
              <w:fldChar w:fldCharType="separate"/>
            </w:r>
            <w:r>
              <w:rPr>
                <w:noProof/>
                <w:webHidden/>
              </w:rPr>
              <w:t>16</w:t>
            </w:r>
            <w:r>
              <w:rPr>
                <w:noProof/>
                <w:webHidden/>
              </w:rPr>
              <w:fldChar w:fldCharType="end"/>
            </w:r>
          </w:hyperlink>
        </w:p>
        <w:p w14:paraId="585CCA38" w14:textId="24EBC4DB" w:rsidR="008A08FF" w:rsidRDefault="008A08FF">
          <w:pPr>
            <w:pStyle w:val="TOC3"/>
            <w:tabs>
              <w:tab w:val="right" w:leader="dot" w:pos="9010"/>
            </w:tabs>
            <w:rPr>
              <w:rFonts w:eastAsiaTheme="minorEastAsia"/>
              <w:noProof/>
              <w:sz w:val="24"/>
              <w:szCs w:val="24"/>
              <w:lang w:eastAsia="en-GB"/>
            </w:rPr>
          </w:pPr>
          <w:hyperlink w:anchor="_Toc16493277" w:history="1">
            <w:r w:rsidRPr="00D02220">
              <w:rPr>
                <w:rStyle w:val="Hyperlink"/>
                <w:noProof/>
              </w:rPr>
              <w:t>Providing affordable financing for production and business</w:t>
            </w:r>
            <w:r>
              <w:rPr>
                <w:noProof/>
                <w:webHidden/>
              </w:rPr>
              <w:tab/>
            </w:r>
            <w:r>
              <w:rPr>
                <w:noProof/>
                <w:webHidden/>
              </w:rPr>
              <w:fldChar w:fldCharType="begin"/>
            </w:r>
            <w:r>
              <w:rPr>
                <w:noProof/>
                <w:webHidden/>
              </w:rPr>
              <w:instrText xml:space="preserve"> PAGEREF _Toc16493277 \h </w:instrText>
            </w:r>
            <w:r>
              <w:rPr>
                <w:noProof/>
                <w:webHidden/>
              </w:rPr>
            </w:r>
            <w:r>
              <w:rPr>
                <w:noProof/>
                <w:webHidden/>
              </w:rPr>
              <w:fldChar w:fldCharType="separate"/>
            </w:r>
            <w:r>
              <w:rPr>
                <w:noProof/>
                <w:webHidden/>
              </w:rPr>
              <w:t>17</w:t>
            </w:r>
            <w:r>
              <w:rPr>
                <w:noProof/>
                <w:webHidden/>
              </w:rPr>
              <w:fldChar w:fldCharType="end"/>
            </w:r>
          </w:hyperlink>
        </w:p>
        <w:p w14:paraId="7AC6A7BF" w14:textId="3CBB843A" w:rsidR="008A08FF" w:rsidRDefault="008A08FF">
          <w:pPr>
            <w:pStyle w:val="TOC3"/>
            <w:tabs>
              <w:tab w:val="right" w:leader="dot" w:pos="9010"/>
            </w:tabs>
            <w:rPr>
              <w:rFonts w:eastAsiaTheme="minorEastAsia"/>
              <w:noProof/>
              <w:sz w:val="24"/>
              <w:szCs w:val="24"/>
              <w:lang w:eastAsia="en-GB"/>
            </w:rPr>
          </w:pPr>
          <w:hyperlink w:anchor="_Toc16493278" w:history="1">
            <w:r w:rsidRPr="00D02220">
              <w:rPr>
                <w:rStyle w:val="Hyperlink"/>
                <w:noProof/>
              </w:rPr>
              <w:t>Enablers of the growth strategy</w:t>
            </w:r>
            <w:r>
              <w:rPr>
                <w:noProof/>
                <w:webHidden/>
              </w:rPr>
              <w:tab/>
            </w:r>
            <w:r>
              <w:rPr>
                <w:noProof/>
                <w:webHidden/>
              </w:rPr>
              <w:fldChar w:fldCharType="begin"/>
            </w:r>
            <w:r>
              <w:rPr>
                <w:noProof/>
                <w:webHidden/>
              </w:rPr>
              <w:instrText xml:space="preserve"> PAGEREF _Toc16493278 \h </w:instrText>
            </w:r>
            <w:r>
              <w:rPr>
                <w:noProof/>
                <w:webHidden/>
              </w:rPr>
            </w:r>
            <w:r>
              <w:rPr>
                <w:noProof/>
                <w:webHidden/>
              </w:rPr>
              <w:fldChar w:fldCharType="separate"/>
            </w:r>
            <w:r>
              <w:rPr>
                <w:noProof/>
                <w:webHidden/>
              </w:rPr>
              <w:t>17</w:t>
            </w:r>
            <w:r>
              <w:rPr>
                <w:noProof/>
                <w:webHidden/>
              </w:rPr>
              <w:fldChar w:fldCharType="end"/>
            </w:r>
          </w:hyperlink>
        </w:p>
        <w:p w14:paraId="321E4FAF" w14:textId="7EE97A9D" w:rsidR="008A08FF" w:rsidRDefault="008A08FF">
          <w:pPr>
            <w:pStyle w:val="TOC2"/>
            <w:tabs>
              <w:tab w:val="right" w:leader="dot" w:pos="9010"/>
            </w:tabs>
            <w:rPr>
              <w:rFonts w:eastAsiaTheme="minorEastAsia"/>
              <w:b w:val="0"/>
              <w:bCs w:val="0"/>
              <w:noProof/>
              <w:sz w:val="24"/>
              <w:szCs w:val="24"/>
              <w:lang w:eastAsia="en-GB"/>
            </w:rPr>
          </w:pPr>
          <w:hyperlink w:anchor="_Toc16493279" w:history="1">
            <w:r w:rsidRPr="00D02220">
              <w:rPr>
                <w:rStyle w:val="Hyperlink"/>
                <w:noProof/>
              </w:rPr>
              <w:t>Priority interventions for 2019/20</w:t>
            </w:r>
            <w:r>
              <w:rPr>
                <w:noProof/>
                <w:webHidden/>
              </w:rPr>
              <w:tab/>
            </w:r>
            <w:r>
              <w:rPr>
                <w:noProof/>
                <w:webHidden/>
              </w:rPr>
              <w:fldChar w:fldCharType="begin"/>
            </w:r>
            <w:r>
              <w:rPr>
                <w:noProof/>
                <w:webHidden/>
              </w:rPr>
              <w:instrText xml:space="preserve"> PAGEREF _Toc16493279 \h </w:instrText>
            </w:r>
            <w:r>
              <w:rPr>
                <w:noProof/>
                <w:webHidden/>
              </w:rPr>
            </w:r>
            <w:r>
              <w:rPr>
                <w:noProof/>
                <w:webHidden/>
              </w:rPr>
              <w:fldChar w:fldCharType="separate"/>
            </w:r>
            <w:r>
              <w:rPr>
                <w:noProof/>
                <w:webHidden/>
              </w:rPr>
              <w:t>17</w:t>
            </w:r>
            <w:r>
              <w:rPr>
                <w:noProof/>
                <w:webHidden/>
              </w:rPr>
              <w:fldChar w:fldCharType="end"/>
            </w:r>
          </w:hyperlink>
        </w:p>
        <w:p w14:paraId="4FE3CBCF" w14:textId="13F95319" w:rsidR="008A08FF" w:rsidRDefault="008A08FF">
          <w:pPr>
            <w:pStyle w:val="TOC3"/>
            <w:tabs>
              <w:tab w:val="right" w:leader="dot" w:pos="9010"/>
            </w:tabs>
            <w:rPr>
              <w:rFonts w:eastAsiaTheme="minorEastAsia"/>
              <w:noProof/>
              <w:sz w:val="24"/>
              <w:szCs w:val="24"/>
              <w:lang w:eastAsia="en-GB"/>
            </w:rPr>
          </w:pPr>
          <w:hyperlink w:anchor="_Toc16493280" w:history="1">
            <w:r w:rsidRPr="00D02220">
              <w:rPr>
                <w:rStyle w:val="Hyperlink"/>
                <w:noProof/>
              </w:rPr>
              <w:t>Enhancing key primary growth sectors</w:t>
            </w:r>
            <w:r>
              <w:rPr>
                <w:noProof/>
                <w:webHidden/>
              </w:rPr>
              <w:tab/>
            </w:r>
            <w:r>
              <w:rPr>
                <w:noProof/>
                <w:webHidden/>
              </w:rPr>
              <w:fldChar w:fldCharType="begin"/>
            </w:r>
            <w:r>
              <w:rPr>
                <w:noProof/>
                <w:webHidden/>
              </w:rPr>
              <w:instrText xml:space="preserve"> PAGEREF _Toc16493280 \h </w:instrText>
            </w:r>
            <w:r>
              <w:rPr>
                <w:noProof/>
                <w:webHidden/>
              </w:rPr>
            </w:r>
            <w:r>
              <w:rPr>
                <w:noProof/>
                <w:webHidden/>
              </w:rPr>
              <w:fldChar w:fldCharType="separate"/>
            </w:r>
            <w:r>
              <w:rPr>
                <w:noProof/>
                <w:webHidden/>
              </w:rPr>
              <w:t>18</w:t>
            </w:r>
            <w:r>
              <w:rPr>
                <w:noProof/>
                <w:webHidden/>
              </w:rPr>
              <w:fldChar w:fldCharType="end"/>
            </w:r>
          </w:hyperlink>
        </w:p>
        <w:p w14:paraId="710E98DE" w14:textId="04737E3D" w:rsidR="008A08FF" w:rsidRDefault="008A08FF">
          <w:pPr>
            <w:pStyle w:val="TOC3"/>
            <w:tabs>
              <w:tab w:val="right" w:leader="dot" w:pos="9010"/>
            </w:tabs>
            <w:rPr>
              <w:rFonts w:eastAsiaTheme="minorEastAsia"/>
              <w:noProof/>
              <w:sz w:val="24"/>
              <w:szCs w:val="24"/>
              <w:lang w:eastAsia="en-GB"/>
            </w:rPr>
          </w:pPr>
          <w:hyperlink w:anchor="_Toc16493281" w:history="1">
            <w:r w:rsidRPr="00D02220">
              <w:rPr>
                <w:rStyle w:val="Hyperlink"/>
                <w:noProof/>
              </w:rPr>
              <w:t>Increasing infrastructure access and reliability</w:t>
            </w:r>
            <w:r>
              <w:rPr>
                <w:noProof/>
                <w:webHidden/>
              </w:rPr>
              <w:tab/>
            </w:r>
            <w:r>
              <w:rPr>
                <w:noProof/>
                <w:webHidden/>
              </w:rPr>
              <w:fldChar w:fldCharType="begin"/>
            </w:r>
            <w:r>
              <w:rPr>
                <w:noProof/>
                <w:webHidden/>
              </w:rPr>
              <w:instrText xml:space="preserve"> PAGEREF _Toc16493281 \h </w:instrText>
            </w:r>
            <w:r>
              <w:rPr>
                <w:noProof/>
                <w:webHidden/>
              </w:rPr>
            </w:r>
            <w:r>
              <w:rPr>
                <w:noProof/>
                <w:webHidden/>
              </w:rPr>
              <w:fldChar w:fldCharType="separate"/>
            </w:r>
            <w:r>
              <w:rPr>
                <w:noProof/>
                <w:webHidden/>
              </w:rPr>
              <w:t>18</w:t>
            </w:r>
            <w:r>
              <w:rPr>
                <w:noProof/>
                <w:webHidden/>
              </w:rPr>
              <w:fldChar w:fldCharType="end"/>
            </w:r>
          </w:hyperlink>
        </w:p>
        <w:p w14:paraId="580B603A" w14:textId="5F5C1474" w:rsidR="008A08FF" w:rsidRDefault="008A08FF">
          <w:pPr>
            <w:pStyle w:val="TOC3"/>
            <w:tabs>
              <w:tab w:val="right" w:leader="dot" w:pos="9010"/>
            </w:tabs>
            <w:rPr>
              <w:rFonts w:eastAsiaTheme="minorEastAsia"/>
              <w:noProof/>
              <w:sz w:val="24"/>
              <w:szCs w:val="24"/>
              <w:lang w:eastAsia="en-GB"/>
            </w:rPr>
          </w:pPr>
          <w:hyperlink w:anchor="_Toc16493282" w:history="1">
            <w:r w:rsidRPr="00D02220">
              <w:rPr>
                <w:rStyle w:val="Hyperlink"/>
                <w:noProof/>
              </w:rPr>
              <w:t>A healthy, well-educated and skilled workforce</w:t>
            </w:r>
            <w:r>
              <w:rPr>
                <w:noProof/>
                <w:webHidden/>
              </w:rPr>
              <w:tab/>
            </w:r>
            <w:r>
              <w:rPr>
                <w:noProof/>
                <w:webHidden/>
              </w:rPr>
              <w:fldChar w:fldCharType="begin"/>
            </w:r>
            <w:r>
              <w:rPr>
                <w:noProof/>
                <w:webHidden/>
              </w:rPr>
              <w:instrText xml:space="preserve"> PAGEREF _Toc16493282 \h </w:instrText>
            </w:r>
            <w:r>
              <w:rPr>
                <w:noProof/>
                <w:webHidden/>
              </w:rPr>
            </w:r>
            <w:r>
              <w:rPr>
                <w:noProof/>
                <w:webHidden/>
              </w:rPr>
              <w:fldChar w:fldCharType="separate"/>
            </w:r>
            <w:r>
              <w:rPr>
                <w:noProof/>
                <w:webHidden/>
              </w:rPr>
              <w:t>18</w:t>
            </w:r>
            <w:r>
              <w:rPr>
                <w:noProof/>
                <w:webHidden/>
              </w:rPr>
              <w:fldChar w:fldCharType="end"/>
            </w:r>
          </w:hyperlink>
        </w:p>
        <w:p w14:paraId="47777A58" w14:textId="4D46FA98" w:rsidR="008A08FF" w:rsidRDefault="008A08FF">
          <w:pPr>
            <w:pStyle w:val="TOC3"/>
            <w:tabs>
              <w:tab w:val="right" w:leader="dot" w:pos="9010"/>
            </w:tabs>
            <w:rPr>
              <w:rFonts w:eastAsiaTheme="minorEastAsia"/>
              <w:noProof/>
              <w:sz w:val="24"/>
              <w:szCs w:val="24"/>
              <w:lang w:eastAsia="en-GB"/>
            </w:rPr>
          </w:pPr>
          <w:hyperlink w:anchor="_Toc16493283" w:history="1">
            <w:r w:rsidRPr="00D02220">
              <w:rPr>
                <w:rStyle w:val="Hyperlink"/>
                <w:noProof/>
              </w:rPr>
              <w:t>Maintaining peace and security, and good governance</w:t>
            </w:r>
            <w:r>
              <w:rPr>
                <w:noProof/>
                <w:webHidden/>
              </w:rPr>
              <w:tab/>
            </w:r>
            <w:r>
              <w:rPr>
                <w:noProof/>
                <w:webHidden/>
              </w:rPr>
              <w:fldChar w:fldCharType="begin"/>
            </w:r>
            <w:r>
              <w:rPr>
                <w:noProof/>
                <w:webHidden/>
              </w:rPr>
              <w:instrText xml:space="preserve"> PAGEREF _Toc16493283 \h </w:instrText>
            </w:r>
            <w:r>
              <w:rPr>
                <w:noProof/>
                <w:webHidden/>
              </w:rPr>
            </w:r>
            <w:r>
              <w:rPr>
                <w:noProof/>
                <w:webHidden/>
              </w:rPr>
              <w:fldChar w:fldCharType="separate"/>
            </w:r>
            <w:r>
              <w:rPr>
                <w:noProof/>
                <w:webHidden/>
              </w:rPr>
              <w:t>19</w:t>
            </w:r>
            <w:r>
              <w:rPr>
                <w:noProof/>
                <w:webHidden/>
              </w:rPr>
              <w:fldChar w:fldCharType="end"/>
            </w:r>
          </w:hyperlink>
        </w:p>
        <w:p w14:paraId="4D9D63AD" w14:textId="3DA536FD" w:rsidR="008A08FF" w:rsidRDefault="008A08FF">
          <w:pPr>
            <w:pStyle w:val="TOC3"/>
            <w:tabs>
              <w:tab w:val="right" w:leader="dot" w:pos="9010"/>
            </w:tabs>
            <w:rPr>
              <w:rFonts w:eastAsiaTheme="minorEastAsia"/>
              <w:noProof/>
              <w:sz w:val="24"/>
              <w:szCs w:val="24"/>
              <w:lang w:eastAsia="en-GB"/>
            </w:rPr>
          </w:pPr>
          <w:hyperlink w:anchor="_Toc16493284" w:history="1">
            <w:r w:rsidRPr="00D02220">
              <w:rPr>
                <w:rStyle w:val="Hyperlink"/>
                <w:noProof/>
              </w:rPr>
              <w:t>Financing</w:t>
            </w:r>
            <w:r>
              <w:rPr>
                <w:noProof/>
                <w:webHidden/>
              </w:rPr>
              <w:tab/>
            </w:r>
            <w:r>
              <w:rPr>
                <w:noProof/>
                <w:webHidden/>
              </w:rPr>
              <w:fldChar w:fldCharType="begin"/>
            </w:r>
            <w:r>
              <w:rPr>
                <w:noProof/>
                <w:webHidden/>
              </w:rPr>
              <w:instrText xml:space="preserve"> PAGEREF _Toc16493284 \h </w:instrText>
            </w:r>
            <w:r>
              <w:rPr>
                <w:noProof/>
                <w:webHidden/>
              </w:rPr>
            </w:r>
            <w:r>
              <w:rPr>
                <w:noProof/>
                <w:webHidden/>
              </w:rPr>
              <w:fldChar w:fldCharType="separate"/>
            </w:r>
            <w:r>
              <w:rPr>
                <w:noProof/>
                <w:webHidden/>
              </w:rPr>
              <w:t>19</w:t>
            </w:r>
            <w:r>
              <w:rPr>
                <w:noProof/>
                <w:webHidden/>
              </w:rPr>
              <w:fldChar w:fldCharType="end"/>
            </w:r>
          </w:hyperlink>
        </w:p>
        <w:p w14:paraId="2A05B84B" w14:textId="4AB51F22" w:rsidR="008A08FF" w:rsidRDefault="008A08FF">
          <w:pPr>
            <w:pStyle w:val="TOC1"/>
            <w:tabs>
              <w:tab w:val="right" w:leader="dot" w:pos="9010"/>
            </w:tabs>
            <w:rPr>
              <w:rFonts w:eastAsiaTheme="minorEastAsia"/>
              <w:b w:val="0"/>
              <w:bCs w:val="0"/>
              <w:i w:val="0"/>
              <w:iCs w:val="0"/>
              <w:noProof/>
              <w:lang w:eastAsia="en-GB"/>
            </w:rPr>
          </w:pPr>
          <w:hyperlink w:anchor="_Toc16493285" w:history="1">
            <w:r w:rsidRPr="00D02220">
              <w:rPr>
                <w:rStyle w:val="Hyperlink"/>
                <w:noProof/>
                <w:lang w:eastAsia="en-GB"/>
              </w:rPr>
              <w:t>Conclusion</w:t>
            </w:r>
            <w:r>
              <w:rPr>
                <w:noProof/>
                <w:webHidden/>
              </w:rPr>
              <w:tab/>
            </w:r>
            <w:r>
              <w:rPr>
                <w:noProof/>
                <w:webHidden/>
              </w:rPr>
              <w:fldChar w:fldCharType="begin"/>
            </w:r>
            <w:r>
              <w:rPr>
                <w:noProof/>
                <w:webHidden/>
              </w:rPr>
              <w:instrText xml:space="preserve"> PAGEREF _Toc16493285 \h </w:instrText>
            </w:r>
            <w:r>
              <w:rPr>
                <w:noProof/>
                <w:webHidden/>
              </w:rPr>
            </w:r>
            <w:r>
              <w:rPr>
                <w:noProof/>
                <w:webHidden/>
              </w:rPr>
              <w:fldChar w:fldCharType="separate"/>
            </w:r>
            <w:r>
              <w:rPr>
                <w:noProof/>
                <w:webHidden/>
              </w:rPr>
              <w:t>21</w:t>
            </w:r>
            <w:r>
              <w:rPr>
                <w:noProof/>
                <w:webHidden/>
              </w:rPr>
              <w:fldChar w:fldCharType="end"/>
            </w:r>
          </w:hyperlink>
        </w:p>
        <w:p w14:paraId="67D4A074" w14:textId="04D70620" w:rsidR="00ED007D" w:rsidRDefault="00ED007D">
          <w:r>
            <w:rPr>
              <w:b/>
              <w:bCs/>
              <w:noProof/>
            </w:rPr>
            <w:fldChar w:fldCharType="end"/>
          </w:r>
        </w:p>
      </w:sdtContent>
    </w:sdt>
    <w:p w14:paraId="30CF65D6" w14:textId="758279BA" w:rsidR="00ED1558" w:rsidRDefault="00ED1558">
      <w:pPr>
        <w:rPr>
          <w:rFonts w:asciiTheme="majorHAnsi" w:eastAsiaTheme="majorEastAsia" w:hAnsiTheme="majorHAnsi" w:cstheme="majorBidi"/>
          <w:color w:val="2F5496" w:themeColor="accent1" w:themeShade="BF"/>
          <w:sz w:val="32"/>
          <w:szCs w:val="32"/>
        </w:rPr>
      </w:pPr>
    </w:p>
    <w:p w14:paraId="0BC6483F" w14:textId="77777777" w:rsidR="00796761" w:rsidRDefault="00796761"/>
    <w:p w14:paraId="1423AB2B" w14:textId="77777777" w:rsidR="00796761" w:rsidRDefault="00796761">
      <w:r>
        <w:br w:type="page"/>
      </w:r>
    </w:p>
    <w:p w14:paraId="20107E90" w14:textId="1B45F278" w:rsidR="00796761" w:rsidRDefault="00796761" w:rsidP="00796761">
      <w:pPr>
        <w:pStyle w:val="TOCHeading"/>
      </w:pPr>
      <w:r>
        <w:lastRenderedPageBreak/>
        <w:t>Table of Figures</w:t>
      </w:r>
    </w:p>
    <w:p w14:paraId="2BA05FBB" w14:textId="59C93745" w:rsidR="003D4A90" w:rsidRDefault="00796761">
      <w:pPr>
        <w:pStyle w:val="TableofFigures"/>
        <w:tabs>
          <w:tab w:val="right" w:leader="dot" w:pos="9010"/>
        </w:tabs>
        <w:rPr>
          <w:rFonts w:eastAsiaTheme="minorEastAsia" w:cstheme="minorBidi"/>
          <w:i w:val="0"/>
          <w:iCs w:val="0"/>
          <w:noProof/>
          <w:sz w:val="24"/>
          <w:szCs w:val="24"/>
        </w:rPr>
      </w:pPr>
      <w:r>
        <w:fldChar w:fldCharType="begin"/>
      </w:r>
      <w:r>
        <w:instrText xml:space="preserve"> TOC \h \z \c "Figure" </w:instrText>
      </w:r>
      <w:r>
        <w:fldChar w:fldCharType="separate"/>
      </w:r>
      <w:hyperlink w:anchor="_Toc16493708" w:history="1">
        <w:r w:rsidR="003D4A90" w:rsidRPr="00EE0F46">
          <w:rPr>
            <w:rStyle w:val="Hyperlink"/>
            <w:noProof/>
          </w:rPr>
          <w:t>Figure 1: Uganda’s GDP performance for the past 10 years</w:t>
        </w:r>
        <w:r w:rsidR="003D4A90">
          <w:rPr>
            <w:noProof/>
            <w:webHidden/>
          </w:rPr>
          <w:tab/>
        </w:r>
        <w:r w:rsidR="003D4A90">
          <w:rPr>
            <w:noProof/>
            <w:webHidden/>
          </w:rPr>
          <w:fldChar w:fldCharType="begin"/>
        </w:r>
        <w:r w:rsidR="003D4A90">
          <w:rPr>
            <w:noProof/>
            <w:webHidden/>
          </w:rPr>
          <w:instrText xml:space="preserve"> PAGEREF _Toc16493708 \h </w:instrText>
        </w:r>
        <w:r w:rsidR="003D4A90">
          <w:rPr>
            <w:noProof/>
            <w:webHidden/>
          </w:rPr>
        </w:r>
        <w:r w:rsidR="003D4A90">
          <w:rPr>
            <w:noProof/>
            <w:webHidden/>
          </w:rPr>
          <w:fldChar w:fldCharType="separate"/>
        </w:r>
        <w:r w:rsidR="003D4A90">
          <w:rPr>
            <w:noProof/>
            <w:webHidden/>
          </w:rPr>
          <w:t>4</w:t>
        </w:r>
        <w:r w:rsidR="003D4A90">
          <w:rPr>
            <w:noProof/>
            <w:webHidden/>
          </w:rPr>
          <w:fldChar w:fldCharType="end"/>
        </w:r>
      </w:hyperlink>
    </w:p>
    <w:p w14:paraId="42855B94" w14:textId="22B1B13A" w:rsidR="003D4A90" w:rsidRDefault="003D4A90">
      <w:pPr>
        <w:pStyle w:val="TableofFigures"/>
        <w:tabs>
          <w:tab w:val="right" w:leader="dot" w:pos="9010"/>
        </w:tabs>
        <w:rPr>
          <w:rFonts w:eastAsiaTheme="minorEastAsia" w:cstheme="minorBidi"/>
          <w:i w:val="0"/>
          <w:iCs w:val="0"/>
          <w:noProof/>
          <w:sz w:val="24"/>
          <w:szCs w:val="24"/>
        </w:rPr>
      </w:pPr>
      <w:hyperlink w:anchor="_Toc16493709" w:history="1">
        <w:r w:rsidRPr="00EE0F46">
          <w:rPr>
            <w:rStyle w:val="Hyperlink"/>
            <w:noProof/>
          </w:rPr>
          <w:t>Figure 2: Uganda’s GDP performance for the past 10 years</w:t>
        </w:r>
        <w:r>
          <w:rPr>
            <w:noProof/>
            <w:webHidden/>
          </w:rPr>
          <w:tab/>
        </w:r>
        <w:r>
          <w:rPr>
            <w:noProof/>
            <w:webHidden/>
          </w:rPr>
          <w:fldChar w:fldCharType="begin"/>
        </w:r>
        <w:r>
          <w:rPr>
            <w:noProof/>
            <w:webHidden/>
          </w:rPr>
          <w:instrText xml:space="preserve"> PAGEREF _Toc16493709 \h </w:instrText>
        </w:r>
        <w:r>
          <w:rPr>
            <w:noProof/>
            <w:webHidden/>
          </w:rPr>
        </w:r>
        <w:r>
          <w:rPr>
            <w:noProof/>
            <w:webHidden/>
          </w:rPr>
          <w:fldChar w:fldCharType="separate"/>
        </w:r>
        <w:r>
          <w:rPr>
            <w:noProof/>
            <w:webHidden/>
          </w:rPr>
          <w:t>5</w:t>
        </w:r>
        <w:r>
          <w:rPr>
            <w:noProof/>
            <w:webHidden/>
          </w:rPr>
          <w:fldChar w:fldCharType="end"/>
        </w:r>
      </w:hyperlink>
    </w:p>
    <w:p w14:paraId="11172405" w14:textId="17E9F3F8" w:rsidR="003D4A90" w:rsidRDefault="003D4A90">
      <w:pPr>
        <w:pStyle w:val="TableofFigures"/>
        <w:tabs>
          <w:tab w:val="right" w:leader="dot" w:pos="9010"/>
        </w:tabs>
        <w:rPr>
          <w:rFonts w:eastAsiaTheme="minorEastAsia" w:cstheme="minorBidi"/>
          <w:i w:val="0"/>
          <w:iCs w:val="0"/>
          <w:noProof/>
          <w:sz w:val="24"/>
          <w:szCs w:val="24"/>
        </w:rPr>
      </w:pPr>
      <w:hyperlink w:anchor="_Toc16493710" w:history="1">
        <w:r w:rsidRPr="00EE0F46">
          <w:rPr>
            <w:rStyle w:val="Hyperlink"/>
            <w:noProof/>
          </w:rPr>
          <w:t>Figure 3: Growth projections by continent</w:t>
        </w:r>
        <w:r>
          <w:rPr>
            <w:noProof/>
            <w:webHidden/>
          </w:rPr>
          <w:tab/>
        </w:r>
        <w:r>
          <w:rPr>
            <w:noProof/>
            <w:webHidden/>
          </w:rPr>
          <w:fldChar w:fldCharType="begin"/>
        </w:r>
        <w:r>
          <w:rPr>
            <w:noProof/>
            <w:webHidden/>
          </w:rPr>
          <w:instrText xml:space="preserve"> PAGEREF _Toc16493710 \h </w:instrText>
        </w:r>
        <w:r>
          <w:rPr>
            <w:noProof/>
            <w:webHidden/>
          </w:rPr>
        </w:r>
        <w:r>
          <w:rPr>
            <w:noProof/>
            <w:webHidden/>
          </w:rPr>
          <w:fldChar w:fldCharType="separate"/>
        </w:r>
        <w:r>
          <w:rPr>
            <w:noProof/>
            <w:webHidden/>
          </w:rPr>
          <w:t>10</w:t>
        </w:r>
        <w:r>
          <w:rPr>
            <w:noProof/>
            <w:webHidden/>
          </w:rPr>
          <w:fldChar w:fldCharType="end"/>
        </w:r>
      </w:hyperlink>
    </w:p>
    <w:p w14:paraId="3FCD92D5" w14:textId="35C9FBD7" w:rsidR="003D4A90" w:rsidRDefault="003D4A90">
      <w:pPr>
        <w:pStyle w:val="TableofFigures"/>
        <w:tabs>
          <w:tab w:val="right" w:leader="dot" w:pos="9010"/>
        </w:tabs>
        <w:rPr>
          <w:rFonts w:eastAsiaTheme="minorEastAsia" w:cstheme="minorBidi"/>
          <w:i w:val="0"/>
          <w:iCs w:val="0"/>
          <w:noProof/>
          <w:sz w:val="24"/>
          <w:szCs w:val="24"/>
        </w:rPr>
      </w:pPr>
      <w:hyperlink w:anchor="_Toc16493711" w:history="1">
        <w:r w:rsidRPr="00EE0F46">
          <w:rPr>
            <w:rStyle w:val="Hyperlink"/>
            <w:noProof/>
          </w:rPr>
          <w:t>Figure 4: Economic Complexity Index over time, selected countries</w:t>
        </w:r>
        <w:r>
          <w:rPr>
            <w:noProof/>
            <w:webHidden/>
          </w:rPr>
          <w:tab/>
        </w:r>
        <w:r>
          <w:rPr>
            <w:noProof/>
            <w:webHidden/>
          </w:rPr>
          <w:fldChar w:fldCharType="begin"/>
        </w:r>
        <w:r>
          <w:rPr>
            <w:noProof/>
            <w:webHidden/>
          </w:rPr>
          <w:instrText xml:space="preserve"> PAGEREF _Toc16493711 \h </w:instrText>
        </w:r>
        <w:r>
          <w:rPr>
            <w:noProof/>
            <w:webHidden/>
          </w:rPr>
        </w:r>
        <w:r>
          <w:rPr>
            <w:noProof/>
            <w:webHidden/>
          </w:rPr>
          <w:fldChar w:fldCharType="separate"/>
        </w:r>
        <w:r>
          <w:rPr>
            <w:noProof/>
            <w:webHidden/>
          </w:rPr>
          <w:t>11</w:t>
        </w:r>
        <w:r>
          <w:rPr>
            <w:noProof/>
            <w:webHidden/>
          </w:rPr>
          <w:fldChar w:fldCharType="end"/>
        </w:r>
      </w:hyperlink>
    </w:p>
    <w:p w14:paraId="4C86C600" w14:textId="1FD8FECE" w:rsidR="003D4A90" w:rsidRDefault="003D4A90">
      <w:pPr>
        <w:pStyle w:val="TableofFigures"/>
        <w:tabs>
          <w:tab w:val="right" w:leader="dot" w:pos="9010"/>
        </w:tabs>
        <w:rPr>
          <w:rFonts w:eastAsiaTheme="minorEastAsia" w:cstheme="minorBidi"/>
          <w:i w:val="0"/>
          <w:iCs w:val="0"/>
          <w:noProof/>
          <w:sz w:val="24"/>
          <w:szCs w:val="24"/>
        </w:rPr>
      </w:pPr>
      <w:hyperlink w:anchor="_Toc16493712" w:history="1">
        <w:r w:rsidRPr="00EE0F46">
          <w:rPr>
            <w:rStyle w:val="Hyperlink"/>
            <w:noProof/>
          </w:rPr>
          <w:t>Figure 5: Uganda’s poverty trend</w:t>
        </w:r>
        <w:r>
          <w:rPr>
            <w:noProof/>
            <w:webHidden/>
          </w:rPr>
          <w:tab/>
        </w:r>
        <w:r>
          <w:rPr>
            <w:noProof/>
            <w:webHidden/>
          </w:rPr>
          <w:fldChar w:fldCharType="begin"/>
        </w:r>
        <w:r>
          <w:rPr>
            <w:noProof/>
            <w:webHidden/>
          </w:rPr>
          <w:instrText xml:space="preserve"> PAGEREF _Toc16493712 \h </w:instrText>
        </w:r>
        <w:r>
          <w:rPr>
            <w:noProof/>
            <w:webHidden/>
          </w:rPr>
        </w:r>
        <w:r>
          <w:rPr>
            <w:noProof/>
            <w:webHidden/>
          </w:rPr>
          <w:fldChar w:fldCharType="separate"/>
        </w:r>
        <w:r>
          <w:rPr>
            <w:noProof/>
            <w:webHidden/>
          </w:rPr>
          <w:t>12</w:t>
        </w:r>
        <w:r>
          <w:rPr>
            <w:noProof/>
            <w:webHidden/>
          </w:rPr>
          <w:fldChar w:fldCharType="end"/>
        </w:r>
      </w:hyperlink>
    </w:p>
    <w:p w14:paraId="6966D8EC" w14:textId="0C195913" w:rsidR="003D4A90" w:rsidRDefault="003D4A90">
      <w:pPr>
        <w:pStyle w:val="TableofFigures"/>
        <w:tabs>
          <w:tab w:val="right" w:leader="dot" w:pos="9010"/>
        </w:tabs>
        <w:rPr>
          <w:rFonts w:eastAsiaTheme="minorEastAsia" w:cstheme="minorBidi"/>
          <w:i w:val="0"/>
          <w:iCs w:val="0"/>
          <w:noProof/>
          <w:sz w:val="24"/>
          <w:szCs w:val="24"/>
        </w:rPr>
      </w:pPr>
      <w:hyperlink w:anchor="_Toc16493713" w:history="1">
        <w:r w:rsidRPr="00EE0F46">
          <w:rPr>
            <w:rStyle w:val="Hyperlink"/>
            <w:noProof/>
          </w:rPr>
          <w:t>Figure 6: Uganda’s per capita income levels (US Dollars)</w:t>
        </w:r>
        <w:r>
          <w:rPr>
            <w:noProof/>
            <w:webHidden/>
          </w:rPr>
          <w:tab/>
        </w:r>
        <w:r>
          <w:rPr>
            <w:noProof/>
            <w:webHidden/>
          </w:rPr>
          <w:fldChar w:fldCharType="begin"/>
        </w:r>
        <w:r>
          <w:rPr>
            <w:noProof/>
            <w:webHidden/>
          </w:rPr>
          <w:instrText xml:space="preserve"> PAGEREF _Toc16493713 \h </w:instrText>
        </w:r>
        <w:r>
          <w:rPr>
            <w:noProof/>
            <w:webHidden/>
          </w:rPr>
        </w:r>
        <w:r>
          <w:rPr>
            <w:noProof/>
            <w:webHidden/>
          </w:rPr>
          <w:fldChar w:fldCharType="separate"/>
        </w:r>
        <w:r>
          <w:rPr>
            <w:noProof/>
            <w:webHidden/>
          </w:rPr>
          <w:t>13</w:t>
        </w:r>
        <w:r>
          <w:rPr>
            <w:noProof/>
            <w:webHidden/>
          </w:rPr>
          <w:fldChar w:fldCharType="end"/>
        </w:r>
      </w:hyperlink>
    </w:p>
    <w:p w14:paraId="299CB74B" w14:textId="1781EBB6" w:rsidR="003D4A90" w:rsidRDefault="003D4A90">
      <w:pPr>
        <w:pStyle w:val="TableofFigures"/>
        <w:tabs>
          <w:tab w:val="right" w:leader="dot" w:pos="9010"/>
        </w:tabs>
        <w:rPr>
          <w:rFonts w:eastAsiaTheme="minorEastAsia" w:cstheme="minorBidi"/>
          <w:i w:val="0"/>
          <w:iCs w:val="0"/>
          <w:noProof/>
          <w:sz w:val="24"/>
          <w:szCs w:val="24"/>
        </w:rPr>
      </w:pPr>
      <w:hyperlink w:anchor="_Toc16493714" w:history="1">
        <w:r w:rsidRPr="00EE0F46">
          <w:rPr>
            <w:rStyle w:val="Hyperlink"/>
            <w:noProof/>
          </w:rPr>
          <w:t>Figure 7: EAC Partner State’s GDP per capita (US Dollars)</w:t>
        </w:r>
        <w:r>
          <w:rPr>
            <w:noProof/>
            <w:webHidden/>
          </w:rPr>
          <w:tab/>
        </w:r>
        <w:r>
          <w:rPr>
            <w:noProof/>
            <w:webHidden/>
          </w:rPr>
          <w:fldChar w:fldCharType="begin"/>
        </w:r>
        <w:r>
          <w:rPr>
            <w:noProof/>
            <w:webHidden/>
          </w:rPr>
          <w:instrText xml:space="preserve"> PAGEREF _Toc16493714 \h </w:instrText>
        </w:r>
        <w:r>
          <w:rPr>
            <w:noProof/>
            <w:webHidden/>
          </w:rPr>
        </w:r>
        <w:r>
          <w:rPr>
            <w:noProof/>
            <w:webHidden/>
          </w:rPr>
          <w:fldChar w:fldCharType="separate"/>
        </w:r>
        <w:r>
          <w:rPr>
            <w:noProof/>
            <w:webHidden/>
          </w:rPr>
          <w:t>13</w:t>
        </w:r>
        <w:r>
          <w:rPr>
            <w:noProof/>
            <w:webHidden/>
          </w:rPr>
          <w:fldChar w:fldCharType="end"/>
        </w:r>
      </w:hyperlink>
    </w:p>
    <w:p w14:paraId="7C307EC0" w14:textId="2DC3E39F" w:rsidR="003D4A90" w:rsidRDefault="003D4A90">
      <w:pPr>
        <w:pStyle w:val="TableofFigures"/>
        <w:tabs>
          <w:tab w:val="right" w:leader="dot" w:pos="9010"/>
        </w:tabs>
        <w:rPr>
          <w:rFonts w:eastAsiaTheme="minorEastAsia" w:cstheme="minorBidi"/>
          <w:i w:val="0"/>
          <w:iCs w:val="0"/>
          <w:noProof/>
          <w:sz w:val="24"/>
          <w:szCs w:val="24"/>
        </w:rPr>
      </w:pPr>
      <w:hyperlink w:anchor="_Toc16493715" w:history="1">
        <w:r w:rsidRPr="00EE0F46">
          <w:rPr>
            <w:rStyle w:val="Hyperlink"/>
            <w:noProof/>
          </w:rPr>
          <w:t>Figure 8: Investment as a % of GDP</w:t>
        </w:r>
        <w:r>
          <w:rPr>
            <w:noProof/>
            <w:webHidden/>
          </w:rPr>
          <w:tab/>
        </w:r>
        <w:r>
          <w:rPr>
            <w:noProof/>
            <w:webHidden/>
          </w:rPr>
          <w:fldChar w:fldCharType="begin"/>
        </w:r>
        <w:r>
          <w:rPr>
            <w:noProof/>
            <w:webHidden/>
          </w:rPr>
          <w:instrText xml:space="preserve"> PAGEREF _Toc16493715 \h </w:instrText>
        </w:r>
        <w:r>
          <w:rPr>
            <w:noProof/>
            <w:webHidden/>
          </w:rPr>
        </w:r>
        <w:r>
          <w:rPr>
            <w:noProof/>
            <w:webHidden/>
          </w:rPr>
          <w:fldChar w:fldCharType="separate"/>
        </w:r>
        <w:r>
          <w:rPr>
            <w:noProof/>
            <w:webHidden/>
          </w:rPr>
          <w:t>14</w:t>
        </w:r>
        <w:r>
          <w:rPr>
            <w:noProof/>
            <w:webHidden/>
          </w:rPr>
          <w:fldChar w:fldCharType="end"/>
        </w:r>
      </w:hyperlink>
    </w:p>
    <w:p w14:paraId="75AA133A" w14:textId="1A4A3357" w:rsidR="00796761" w:rsidRDefault="00796761">
      <w:r>
        <w:fldChar w:fldCharType="end"/>
      </w:r>
    </w:p>
    <w:p w14:paraId="12A20D6F" w14:textId="30CDB152" w:rsidR="00364200" w:rsidRDefault="00364200" w:rsidP="00364200">
      <w:pPr>
        <w:pStyle w:val="TOCHeading"/>
      </w:pPr>
      <w:r>
        <w:t>Table of Tables</w:t>
      </w:r>
    </w:p>
    <w:p w14:paraId="53B07D4E" w14:textId="49B8FA8D" w:rsidR="003D4A90" w:rsidRDefault="00902BE7">
      <w:pPr>
        <w:pStyle w:val="TableofFigures"/>
        <w:tabs>
          <w:tab w:val="right" w:leader="underscore" w:pos="9010"/>
        </w:tabs>
        <w:rPr>
          <w:rFonts w:eastAsiaTheme="minorEastAsia" w:cstheme="minorBidi"/>
          <w:i w:val="0"/>
          <w:iCs w:val="0"/>
          <w:noProof/>
          <w:sz w:val="24"/>
          <w:szCs w:val="24"/>
        </w:rPr>
      </w:pPr>
      <w:r>
        <w:rPr>
          <w:lang w:val="en-US" w:eastAsia="en-US"/>
        </w:rPr>
        <w:fldChar w:fldCharType="begin"/>
      </w:r>
      <w:r>
        <w:rPr>
          <w:lang w:val="en-US" w:eastAsia="en-US"/>
        </w:rPr>
        <w:instrText xml:space="preserve"> TOC \h \z \c "Table" </w:instrText>
      </w:r>
      <w:r>
        <w:rPr>
          <w:lang w:val="en-US" w:eastAsia="en-US"/>
        </w:rPr>
        <w:fldChar w:fldCharType="separate"/>
      </w:r>
      <w:hyperlink w:anchor="_Toc16493716" w:history="1">
        <w:r w:rsidR="003D4A90" w:rsidRPr="008814D8">
          <w:rPr>
            <w:rStyle w:val="Hyperlink"/>
            <w:noProof/>
          </w:rPr>
          <w:t>Table 1: Economic Complexity Index, past 10 years</w:t>
        </w:r>
        <w:r w:rsidR="003D4A90">
          <w:rPr>
            <w:noProof/>
            <w:webHidden/>
          </w:rPr>
          <w:tab/>
        </w:r>
        <w:r w:rsidR="003D4A90">
          <w:rPr>
            <w:noProof/>
            <w:webHidden/>
          </w:rPr>
          <w:fldChar w:fldCharType="begin"/>
        </w:r>
        <w:r w:rsidR="003D4A90">
          <w:rPr>
            <w:noProof/>
            <w:webHidden/>
          </w:rPr>
          <w:instrText xml:space="preserve"> PAGEREF _Toc16493716 \h </w:instrText>
        </w:r>
        <w:r w:rsidR="003D4A90">
          <w:rPr>
            <w:noProof/>
            <w:webHidden/>
          </w:rPr>
        </w:r>
        <w:r w:rsidR="003D4A90">
          <w:rPr>
            <w:noProof/>
            <w:webHidden/>
          </w:rPr>
          <w:fldChar w:fldCharType="separate"/>
        </w:r>
        <w:r w:rsidR="003D4A90">
          <w:rPr>
            <w:noProof/>
            <w:webHidden/>
          </w:rPr>
          <w:t>11</w:t>
        </w:r>
        <w:r w:rsidR="003D4A90">
          <w:rPr>
            <w:noProof/>
            <w:webHidden/>
          </w:rPr>
          <w:fldChar w:fldCharType="end"/>
        </w:r>
      </w:hyperlink>
    </w:p>
    <w:p w14:paraId="5E186E28" w14:textId="173B296A" w:rsidR="00364200" w:rsidRPr="00364200" w:rsidRDefault="00902BE7" w:rsidP="00364200">
      <w:pPr>
        <w:rPr>
          <w:lang w:val="en-US" w:eastAsia="en-US"/>
        </w:rPr>
      </w:pPr>
      <w:r>
        <w:rPr>
          <w:lang w:val="en-US" w:eastAsia="en-US"/>
        </w:rPr>
        <w:fldChar w:fldCharType="end"/>
      </w:r>
    </w:p>
    <w:p w14:paraId="105AFFDE" w14:textId="18B09A60" w:rsidR="00952700" w:rsidRDefault="00952700">
      <w:r>
        <w:br w:type="page"/>
      </w:r>
    </w:p>
    <w:p w14:paraId="14A5E829" w14:textId="248C2DF8" w:rsidR="00952700" w:rsidRDefault="00DC2887" w:rsidP="00DC2887">
      <w:pPr>
        <w:pStyle w:val="Heading1"/>
        <w:rPr>
          <w:lang w:eastAsia="en-GB"/>
        </w:rPr>
      </w:pPr>
      <w:bookmarkStart w:id="0" w:name="_Toc16493258"/>
      <w:r>
        <w:rPr>
          <w:lang w:eastAsia="en-GB"/>
        </w:rPr>
        <w:lastRenderedPageBreak/>
        <w:t>Summary</w:t>
      </w:r>
      <w:bookmarkEnd w:id="0"/>
    </w:p>
    <w:p w14:paraId="30CC5B96" w14:textId="2AE250D3" w:rsidR="00DC2887" w:rsidRDefault="00DC2887" w:rsidP="00DC2887"/>
    <w:p w14:paraId="28C6EA24" w14:textId="77777777" w:rsidR="00720E95" w:rsidRPr="00AE027F" w:rsidRDefault="00720E95" w:rsidP="00720E95">
      <w:pPr>
        <w:pStyle w:val="ListParagraph"/>
        <w:numPr>
          <w:ilvl w:val="0"/>
          <w:numId w:val="1"/>
        </w:numPr>
        <w:jc w:val="both"/>
        <w:rPr>
          <w:b/>
          <w:bCs/>
          <w:lang w:val="en-US"/>
        </w:rPr>
      </w:pPr>
      <w:r w:rsidRPr="00AE027F">
        <w:rPr>
          <w:b/>
          <w:bCs/>
          <w:lang w:val="en-US"/>
        </w:rPr>
        <w:t>The economy expanded by 6.1% in 2018/19, a slight reduction from 6.2% registered in 2017/18. This performance however reflects a rebound in economic activity since 2017/18.</w:t>
      </w:r>
    </w:p>
    <w:p w14:paraId="721133D7" w14:textId="77777777" w:rsidR="00720E95" w:rsidRPr="00AE027F" w:rsidRDefault="00720E95" w:rsidP="00720E95">
      <w:pPr>
        <w:jc w:val="both"/>
        <w:rPr>
          <w:b/>
          <w:bCs/>
          <w:lang w:val="en-US"/>
        </w:rPr>
      </w:pPr>
    </w:p>
    <w:p w14:paraId="18FEAF9D" w14:textId="77777777" w:rsidR="00720E95" w:rsidRPr="00AE027F" w:rsidRDefault="00720E95" w:rsidP="00720E95">
      <w:pPr>
        <w:pStyle w:val="ListParagraph"/>
        <w:numPr>
          <w:ilvl w:val="0"/>
          <w:numId w:val="1"/>
        </w:numPr>
        <w:jc w:val="both"/>
        <w:rPr>
          <w:b/>
          <w:bCs/>
          <w:lang w:val="en-US"/>
        </w:rPr>
      </w:pPr>
      <w:r w:rsidRPr="00AE027F">
        <w:rPr>
          <w:b/>
          <w:bCs/>
          <w:lang w:val="en-US"/>
        </w:rPr>
        <w:t>Uganda’s growth has been similar to its EAC partners in 2018, having recovered from much slower relative growth in both 2016 and 2017.</w:t>
      </w:r>
    </w:p>
    <w:p w14:paraId="7DA3D680" w14:textId="77777777" w:rsidR="00720E95" w:rsidRPr="00AE027F" w:rsidRDefault="00720E95" w:rsidP="00720E95">
      <w:pPr>
        <w:jc w:val="both"/>
        <w:rPr>
          <w:b/>
          <w:bCs/>
          <w:lang w:val="en-US"/>
        </w:rPr>
      </w:pPr>
    </w:p>
    <w:p w14:paraId="1168DCBF" w14:textId="77777777" w:rsidR="00720E95" w:rsidRPr="00AE027F" w:rsidRDefault="00720E95" w:rsidP="00720E95">
      <w:pPr>
        <w:pStyle w:val="ListParagraph"/>
        <w:numPr>
          <w:ilvl w:val="0"/>
          <w:numId w:val="1"/>
        </w:numPr>
        <w:jc w:val="both"/>
        <w:rPr>
          <w:b/>
          <w:bCs/>
          <w:lang w:val="en-US"/>
        </w:rPr>
      </w:pPr>
      <w:r w:rsidRPr="00AE027F">
        <w:rPr>
          <w:b/>
          <w:bCs/>
          <w:lang w:val="en-US"/>
        </w:rPr>
        <w:t>Growth was supported by strong growth in both industry and services, growing at 7.2% and 5.8% respectively in 2017/18.</w:t>
      </w:r>
    </w:p>
    <w:p w14:paraId="7EE942C1" w14:textId="77777777" w:rsidR="00720E95" w:rsidRPr="00AE027F" w:rsidRDefault="00720E95" w:rsidP="00720E95">
      <w:pPr>
        <w:jc w:val="both"/>
        <w:rPr>
          <w:b/>
          <w:bCs/>
          <w:lang w:val="en-US"/>
        </w:rPr>
      </w:pPr>
    </w:p>
    <w:p w14:paraId="55B2EF3B" w14:textId="77777777" w:rsidR="00720E95" w:rsidRPr="00AE027F" w:rsidRDefault="00720E95" w:rsidP="00720E95">
      <w:pPr>
        <w:pStyle w:val="ListParagraph"/>
        <w:numPr>
          <w:ilvl w:val="0"/>
          <w:numId w:val="1"/>
        </w:numPr>
        <w:jc w:val="both"/>
        <w:rPr>
          <w:b/>
          <w:bCs/>
          <w:lang w:val="en-US"/>
        </w:rPr>
      </w:pPr>
      <w:r w:rsidRPr="00AE027F">
        <w:rPr>
          <w:b/>
          <w:bCs/>
          <w:lang w:val="en-US"/>
        </w:rPr>
        <w:t>Indicators such as the Economic Complexity Index show that Uganda has good potential to grow over the next ten years. This is because it can soon develop many new industries based on the knowledge and experience obtained over the last few years.</w:t>
      </w:r>
    </w:p>
    <w:p w14:paraId="4C9093DB" w14:textId="77777777" w:rsidR="00720E95" w:rsidRPr="00AE027F" w:rsidRDefault="00720E95" w:rsidP="00720E95">
      <w:pPr>
        <w:jc w:val="both"/>
        <w:rPr>
          <w:b/>
          <w:bCs/>
          <w:lang w:val="en-US"/>
        </w:rPr>
      </w:pPr>
    </w:p>
    <w:p w14:paraId="61852833" w14:textId="77777777" w:rsidR="00720E95" w:rsidRPr="00AE027F" w:rsidRDefault="00720E95" w:rsidP="00720E95">
      <w:pPr>
        <w:pStyle w:val="ListParagraph"/>
        <w:numPr>
          <w:ilvl w:val="0"/>
          <w:numId w:val="1"/>
        </w:numPr>
        <w:jc w:val="both"/>
        <w:rPr>
          <w:b/>
          <w:bCs/>
          <w:lang w:val="en-US"/>
        </w:rPr>
      </w:pPr>
      <w:r w:rsidRPr="00AE027F">
        <w:rPr>
          <w:b/>
          <w:bCs/>
          <w:lang w:val="en-US"/>
        </w:rPr>
        <w:t>Uganda also faces impediments to growth. In the latest household survey poverty rates have increased and the Gini coefficient worsened. Per capita income levels are also growing slowly as GDP growth is only just outpacing population growth. There has also been a decrease in national investment as a proportion of GDP in the past 5 years which may be retarding growth.</w:t>
      </w:r>
    </w:p>
    <w:p w14:paraId="4C641F18" w14:textId="77777777" w:rsidR="00720E95" w:rsidRPr="00AE027F" w:rsidRDefault="00720E95" w:rsidP="00720E95">
      <w:pPr>
        <w:jc w:val="both"/>
        <w:rPr>
          <w:b/>
          <w:bCs/>
          <w:lang w:val="en-US"/>
        </w:rPr>
      </w:pPr>
    </w:p>
    <w:p w14:paraId="3809AB25" w14:textId="77777777" w:rsidR="00720E95" w:rsidRPr="00AE027F" w:rsidRDefault="00720E95" w:rsidP="00720E95">
      <w:pPr>
        <w:pStyle w:val="ListParagraph"/>
        <w:numPr>
          <w:ilvl w:val="0"/>
          <w:numId w:val="1"/>
        </w:numPr>
        <w:jc w:val="both"/>
        <w:rPr>
          <w:b/>
          <w:bCs/>
          <w:lang w:val="en-US"/>
        </w:rPr>
      </w:pPr>
      <w:r w:rsidRPr="00AE027F">
        <w:rPr>
          <w:b/>
          <w:bCs/>
          <w:lang w:val="en-US"/>
        </w:rPr>
        <w:t xml:space="preserve">Government has a growth strategy in place. It will focus on expanding the industrial base, </w:t>
      </w:r>
      <w:proofErr w:type="spellStart"/>
      <w:r w:rsidRPr="00AE027F">
        <w:rPr>
          <w:b/>
          <w:bCs/>
          <w:lang w:val="en-US"/>
        </w:rPr>
        <w:t>utilising</w:t>
      </w:r>
      <w:proofErr w:type="spellEnd"/>
      <w:r w:rsidRPr="00AE027F">
        <w:rPr>
          <w:b/>
          <w:bCs/>
          <w:lang w:val="en-US"/>
        </w:rPr>
        <w:t xml:space="preserve"> natural resources in an environmentally conscious way and providing affordable financing for production and business.</w:t>
      </w:r>
    </w:p>
    <w:p w14:paraId="65F77298" w14:textId="77777777" w:rsidR="00720E95" w:rsidRPr="00AE027F" w:rsidRDefault="00720E95" w:rsidP="00720E95">
      <w:pPr>
        <w:jc w:val="both"/>
        <w:rPr>
          <w:b/>
          <w:bCs/>
          <w:lang w:val="en-US"/>
        </w:rPr>
      </w:pPr>
    </w:p>
    <w:p w14:paraId="60F42E59" w14:textId="77777777" w:rsidR="00720E95" w:rsidRPr="00AE027F" w:rsidRDefault="00720E95" w:rsidP="00720E95">
      <w:pPr>
        <w:pStyle w:val="ListParagraph"/>
        <w:numPr>
          <w:ilvl w:val="0"/>
          <w:numId w:val="1"/>
        </w:numPr>
        <w:jc w:val="both"/>
        <w:rPr>
          <w:b/>
          <w:bCs/>
          <w:lang w:val="en-US"/>
        </w:rPr>
      </w:pPr>
      <w:r w:rsidRPr="00AE027F">
        <w:rPr>
          <w:b/>
          <w:bCs/>
          <w:lang w:val="en-US"/>
        </w:rPr>
        <w:t>In 2019/20 the focus will be on enhancing key growth sectors such as industry, agriculture, tourism and oil; increasing infrastructure access and reliability; human capital development; and maintaining peace, security and good governance.</w:t>
      </w:r>
    </w:p>
    <w:p w14:paraId="4743857E" w14:textId="26F44A62" w:rsidR="00DC2887" w:rsidRDefault="00DC2887" w:rsidP="00DC2887"/>
    <w:p w14:paraId="04D66B5F" w14:textId="30E1CB5B" w:rsidR="00A00183" w:rsidRDefault="00A00183">
      <w:r>
        <w:br w:type="page"/>
      </w:r>
      <w:bookmarkStart w:id="1" w:name="_GoBack"/>
      <w:bookmarkEnd w:id="1"/>
    </w:p>
    <w:p w14:paraId="614327DA" w14:textId="358241F2" w:rsidR="00A00183" w:rsidRDefault="00F27D8B" w:rsidP="00F27D8B">
      <w:pPr>
        <w:pStyle w:val="Heading1"/>
        <w:rPr>
          <w:lang w:eastAsia="en-GB"/>
        </w:rPr>
      </w:pPr>
      <w:bookmarkStart w:id="2" w:name="_Toc16493259"/>
      <w:r>
        <w:rPr>
          <w:lang w:eastAsia="en-GB"/>
        </w:rPr>
        <w:lastRenderedPageBreak/>
        <w:t>GDP Growth</w:t>
      </w:r>
      <w:bookmarkEnd w:id="2"/>
    </w:p>
    <w:p w14:paraId="6128A2D9" w14:textId="303AB348" w:rsidR="00F27D8B" w:rsidRDefault="00F27D8B" w:rsidP="00F27D8B"/>
    <w:p w14:paraId="56FC97E3" w14:textId="509DFA3D" w:rsidR="009949E1" w:rsidRDefault="009949E1" w:rsidP="009949E1">
      <w:pPr>
        <w:pStyle w:val="Heading2"/>
        <w:rPr>
          <w:lang w:eastAsia="en-GB"/>
        </w:rPr>
      </w:pPr>
      <w:bookmarkStart w:id="3" w:name="_Toc16493260"/>
      <w:r>
        <w:rPr>
          <w:lang w:eastAsia="en-GB"/>
        </w:rPr>
        <w:t>Overview</w:t>
      </w:r>
      <w:bookmarkEnd w:id="3"/>
    </w:p>
    <w:p w14:paraId="0AFD3DDB" w14:textId="77777777" w:rsidR="009949E1" w:rsidRDefault="009949E1" w:rsidP="00F27D8B"/>
    <w:p w14:paraId="3983249C" w14:textId="47891E80" w:rsidR="002302D5" w:rsidRDefault="002302D5" w:rsidP="002302D5">
      <w:pPr>
        <w:jc w:val="both"/>
        <w:rPr>
          <w:lang w:val="en-US"/>
        </w:rPr>
      </w:pPr>
      <w:r w:rsidRPr="002302D5">
        <w:rPr>
          <w:lang w:val="en-US"/>
        </w:rPr>
        <w:t>The economy expanded by 6.1</w:t>
      </w:r>
      <w:r>
        <w:rPr>
          <w:lang w:val="en-US"/>
        </w:rPr>
        <w:t>%</w:t>
      </w:r>
      <w:r w:rsidRPr="002302D5">
        <w:rPr>
          <w:lang w:val="en-US"/>
        </w:rPr>
        <w:t xml:space="preserve"> in FY2018/19, a slight reduction from 6.2</w:t>
      </w:r>
      <w:r>
        <w:rPr>
          <w:lang w:val="en-US"/>
        </w:rPr>
        <w:t>%</w:t>
      </w:r>
      <w:r w:rsidRPr="002302D5">
        <w:rPr>
          <w:lang w:val="en-US"/>
        </w:rPr>
        <w:t xml:space="preserve"> registered in FY2017/18. This performance however reflects a rebound in economic activity since FY2017/18. The strong performance is largely due to higher economic activity in</w:t>
      </w:r>
      <w:r w:rsidR="003D4A90">
        <w:rPr>
          <w:lang w:val="en-US"/>
        </w:rPr>
        <w:t xml:space="preserve"> </w:t>
      </w:r>
      <w:r w:rsidRPr="002302D5">
        <w:rPr>
          <w:lang w:val="en-US"/>
        </w:rPr>
        <w:t>industry a</w:t>
      </w:r>
      <w:r w:rsidR="003D4A90">
        <w:rPr>
          <w:lang w:val="en-US"/>
        </w:rPr>
        <w:t>nd</w:t>
      </w:r>
      <w:r w:rsidRPr="002302D5">
        <w:rPr>
          <w:lang w:val="en-US"/>
        </w:rPr>
        <w:t xml:space="preserve"> services. From the production side, services recorded the highest growth rate at 7.2</w:t>
      </w:r>
      <w:r>
        <w:rPr>
          <w:lang w:val="en-US"/>
        </w:rPr>
        <w:t>%</w:t>
      </w:r>
      <w:r w:rsidRPr="002302D5">
        <w:rPr>
          <w:lang w:val="en-US"/>
        </w:rPr>
        <w:t>, followed by industry at 5.8</w:t>
      </w:r>
      <w:r>
        <w:rPr>
          <w:lang w:val="en-US"/>
        </w:rPr>
        <w:t>%</w:t>
      </w:r>
      <w:r w:rsidRPr="002302D5">
        <w:rPr>
          <w:lang w:val="en-US"/>
        </w:rPr>
        <w:t xml:space="preserve"> and agriculture at 3.8</w:t>
      </w:r>
      <w:r w:rsidR="00D5421B">
        <w:rPr>
          <w:lang w:val="en-US"/>
        </w:rPr>
        <w:t>%</w:t>
      </w:r>
      <w:r w:rsidRPr="002302D5">
        <w:rPr>
          <w:lang w:val="en-US"/>
        </w:rPr>
        <w:t>. However, there was a slight decline in the rate of growth for services (down by 0.6 percentage points) and industry (down by 0.3 percentage points) although the growth rate in agriculture, forestry and fishing sector remained unchanged.</w:t>
      </w:r>
    </w:p>
    <w:p w14:paraId="04271862" w14:textId="77777777" w:rsidR="00D5421B" w:rsidRPr="002302D5" w:rsidRDefault="00D5421B" w:rsidP="002302D5">
      <w:pPr>
        <w:jc w:val="both"/>
        <w:rPr>
          <w:lang w:val="en-US"/>
        </w:rPr>
      </w:pPr>
    </w:p>
    <w:p w14:paraId="61F0B849" w14:textId="63C663F9" w:rsidR="00F27D8B" w:rsidRPr="00755328" w:rsidRDefault="00090EE9" w:rsidP="00090EE9">
      <w:pPr>
        <w:pStyle w:val="Caption"/>
        <w:rPr>
          <w:sz w:val="24"/>
          <w:szCs w:val="24"/>
        </w:rPr>
      </w:pPr>
      <w:bookmarkStart w:id="4" w:name="_Toc16493708"/>
      <w:r w:rsidRPr="00755328">
        <w:rPr>
          <w:sz w:val="24"/>
          <w:szCs w:val="24"/>
        </w:rPr>
        <w:t xml:space="preserve">Figure </w:t>
      </w:r>
      <w:r w:rsidRPr="00755328">
        <w:rPr>
          <w:sz w:val="24"/>
          <w:szCs w:val="24"/>
        </w:rPr>
        <w:fldChar w:fldCharType="begin"/>
      </w:r>
      <w:r w:rsidRPr="00755328">
        <w:rPr>
          <w:sz w:val="24"/>
          <w:szCs w:val="24"/>
        </w:rPr>
        <w:instrText xml:space="preserve"> SEQ Figure \* ARABIC </w:instrText>
      </w:r>
      <w:r w:rsidRPr="00755328">
        <w:rPr>
          <w:sz w:val="24"/>
          <w:szCs w:val="24"/>
        </w:rPr>
        <w:fldChar w:fldCharType="separate"/>
      </w:r>
      <w:r w:rsidRPr="00755328">
        <w:rPr>
          <w:noProof/>
          <w:sz w:val="24"/>
          <w:szCs w:val="24"/>
        </w:rPr>
        <w:t>1</w:t>
      </w:r>
      <w:r w:rsidRPr="00755328">
        <w:rPr>
          <w:sz w:val="24"/>
          <w:szCs w:val="24"/>
        </w:rPr>
        <w:fldChar w:fldCharType="end"/>
      </w:r>
      <w:r w:rsidRPr="00755328">
        <w:rPr>
          <w:sz w:val="24"/>
          <w:szCs w:val="24"/>
        </w:rPr>
        <w:t>: Uganda’s GDP performance for the past 10 years</w:t>
      </w:r>
      <w:bookmarkEnd w:id="4"/>
    </w:p>
    <w:p w14:paraId="4CF630A8" w14:textId="0C705D45" w:rsidR="00755328" w:rsidRDefault="00755328" w:rsidP="00755328">
      <w:r>
        <w:rPr>
          <w:noProof/>
          <w:lang w:val="en-US" w:eastAsia="en-US"/>
        </w:rPr>
        <w:drawing>
          <wp:inline distT="0" distB="0" distL="0" distR="0" wp14:anchorId="1BC09922" wp14:editId="262B2C98">
            <wp:extent cx="5727700" cy="2674991"/>
            <wp:effectExtent l="0" t="0" r="12700" b="1778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60861617" w14:textId="77777777" w:rsidR="00755328" w:rsidRPr="00755328" w:rsidRDefault="00755328" w:rsidP="00755328">
      <w:pPr>
        <w:rPr>
          <w:i/>
          <w:iCs/>
          <w:color w:val="44546A" w:themeColor="text2"/>
          <w:lang w:val="en-US"/>
        </w:rPr>
      </w:pPr>
      <w:r w:rsidRPr="00755328">
        <w:rPr>
          <w:i/>
          <w:iCs/>
          <w:color w:val="44546A" w:themeColor="text2"/>
          <w:lang w:val="en-US"/>
        </w:rPr>
        <w:t>Source: Uganda Bureau of Statistics</w:t>
      </w:r>
    </w:p>
    <w:p w14:paraId="4DB6E586" w14:textId="50C0BEA6" w:rsidR="00755328" w:rsidRDefault="00755328" w:rsidP="00755328"/>
    <w:p w14:paraId="0D5ED820" w14:textId="28ED8F81" w:rsidR="00755328" w:rsidRDefault="002A7185" w:rsidP="002A7185">
      <w:pPr>
        <w:pStyle w:val="Heading2"/>
        <w:rPr>
          <w:lang w:eastAsia="en-GB"/>
        </w:rPr>
      </w:pPr>
      <w:bookmarkStart w:id="5" w:name="_Toc16493261"/>
      <w:r>
        <w:rPr>
          <w:lang w:eastAsia="en-GB"/>
        </w:rPr>
        <w:t>Comparison with select EAC Partner States</w:t>
      </w:r>
      <w:bookmarkEnd w:id="5"/>
    </w:p>
    <w:p w14:paraId="3CA70FDF" w14:textId="43A58810" w:rsidR="002A7185" w:rsidRDefault="002A7185" w:rsidP="002A7185"/>
    <w:p w14:paraId="4061B0B8" w14:textId="64271009" w:rsidR="008B5B4C" w:rsidRDefault="00863CA9" w:rsidP="00863CA9">
      <w:pPr>
        <w:pStyle w:val="Heading3"/>
        <w:rPr>
          <w:lang w:eastAsia="en-GB"/>
        </w:rPr>
      </w:pPr>
      <w:bookmarkStart w:id="6" w:name="_Toc16493262"/>
      <w:r>
        <w:rPr>
          <w:lang w:eastAsia="en-GB"/>
        </w:rPr>
        <w:t>Kenya</w:t>
      </w:r>
      <w:bookmarkEnd w:id="6"/>
    </w:p>
    <w:p w14:paraId="499F12EB" w14:textId="76A59F8E" w:rsidR="00863CA9" w:rsidRDefault="00863CA9" w:rsidP="00863CA9"/>
    <w:p w14:paraId="711F0CE9" w14:textId="77777777" w:rsidR="008972D3" w:rsidRDefault="00863CA9" w:rsidP="00863CA9">
      <w:pPr>
        <w:jc w:val="both"/>
        <w:rPr>
          <w:lang w:val="en-US"/>
        </w:rPr>
      </w:pPr>
      <w:r w:rsidRPr="00863CA9">
        <w:rPr>
          <w:lang w:val="en-US"/>
        </w:rPr>
        <w:t>In 2018, Kenya’s GDP growth rate registered at 6.3</w:t>
      </w:r>
      <w:r>
        <w:rPr>
          <w:lang w:val="en-US"/>
        </w:rPr>
        <w:t>%</w:t>
      </w:r>
      <w:r w:rsidRPr="00863CA9">
        <w:rPr>
          <w:lang w:val="en-US"/>
        </w:rPr>
        <w:t xml:space="preserve"> mainly supported by growth in </w:t>
      </w:r>
      <w:r>
        <w:rPr>
          <w:lang w:val="en-US"/>
        </w:rPr>
        <w:t xml:space="preserve">the </w:t>
      </w:r>
      <w:r w:rsidRPr="00863CA9">
        <w:rPr>
          <w:lang w:val="en-US"/>
        </w:rPr>
        <w:t>agriculture, manufacturing and transport sectors. This performance is a rebound from 4.7</w:t>
      </w:r>
      <w:r>
        <w:rPr>
          <w:lang w:val="en-US"/>
        </w:rPr>
        <w:t>%</w:t>
      </w:r>
      <w:r w:rsidRPr="00863CA9">
        <w:rPr>
          <w:lang w:val="en-US"/>
        </w:rPr>
        <w:t xml:space="preserve"> in 2017 amid effects of adverse weather and political jitters in the election year.</w:t>
      </w:r>
    </w:p>
    <w:p w14:paraId="49C18240" w14:textId="77777777" w:rsidR="008972D3" w:rsidRDefault="008972D3" w:rsidP="00863CA9">
      <w:pPr>
        <w:jc w:val="both"/>
        <w:rPr>
          <w:lang w:val="en-US"/>
        </w:rPr>
      </w:pPr>
    </w:p>
    <w:p w14:paraId="3D779F6A" w14:textId="7A4E4E0F" w:rsidR="00863CA9" w:rsidRPr="00863CA9" w:rsidRDefault="00863CA9" w:rsidP="00863CA9">
      <w:pPr>
        <w:jc w:val="both"/>
        <w:rPr>
          <w:lang w:val="en-US"/>
        </w:rPr>
      </w:pPr>
      <w:r w:rsidRPr="00863CA9">
        <w:rPr>
          <w:lang w:val="en-US"/>
        </w:rPr>
        <w:t>From the production side, output from agriculture sector grew by 6.6</w:t>
      </w:r>
      <w:r w:rsidR="008972D3">
        <w:rPr>
          <w:lang w:val="en-US"/>
        </w:rPr>
        <w:t xml:space="preserve">%, </w:t>
      </w:r>
      <w:r w:rsidRPr="00863CA9">
        <w:rPr>
          <w:lang w:val="en-US"/>
        </w:rPr>
        <w:t>the highest level in past 5 years</w:t>
      </w:r>
      <w:r w:rsidR="008972D3">
        <w:rPr>
          <w:lang w:val="en-US"/>
        </w:rPr>
        <w:t>,</w:t>
      </w:r>
      <w:r w:rsidRPr="00863CA9">
        <w:rPr>
          <w:lang w:val="en-US"/>
        </w:rPr>
        <w:t xml:space="preserve"> partly explained by the big four agenda</w:t>
      </w:r>
      <w:r w:rsidR="008972D3">
        <w:rPr>
          <w:lang w:val="en-US"/>
        </w:rPr>
        <w:t>,</w:t>
      </w:r>
      <w:r w:rsidRPr="00863CA9">
        <w:rPr>
          <w:lang w:val="en-US"/>
        </w:rPr>
        <w:t xml:space="preserve"> which aims to promote food security and nutrition. Food security initiatives</w:t>
      </w:r>
      <w:r w:rsidR="008972D3">
        <w:rPr>
          <w:lang w:val="en-US"/>
        </w:rPr>
        <w:t>,</w:t>
      </w:r>
      <w:r w:rsidRPr="00863CA9">
        <w:rPr>
          <w:lang w:val="en-US"/>
        </w:rPr>
        <w:t xml:space="preserve"> </w:t>
      </w:r>
      <w:r w:rsidR="008972D3">
        <w:rPr>
          <w:lang w:val="en-US"/>
        </w:rPr>
        <w:t>such as</w:t>
      </w:r>
      <w:r w:rsidRPr="00863CA9">
        <w:rPr>
          <w:lang w:val="en-US"/>
        </w:rPr>
        <w:t xml:space="preserve"> increas</w:t>
      </w:r>
      <w:r w:rsidR="008972D3">
        <w:rPr>
          <w:lang w:val="en-US"/>
        </w:rPr>
        <w:t>ing</w:t>
      </w:r>
      <w:r w:rsidRPr="00863CA9">
        <w:rPr>
          <w:lang w:val="en-US"/>
        </w:rPr>
        <w:t xml:space="preserve"> maize</w:t>
      </w:r>
      <w:r w:rsidR="008972D3">
        <w:rPr>
          <w:lang w:val="en-US"/>
        </w:rPr>
        <w:t xml:space="preserve"> production,</w:t>
      </w:r>
      <w:r w:rsidRPr="00863CA9">
        <w:rPr>
          <w:lang w:val="en-US"/>
        </w:rPr>
        <w:t xml:space="preserve"> which are being implemented led to increased agricultural production during the year. Agriculture sector accounts for about one-third of Kenya’s annual economic output. Transport and storage services grew to a 5 year high of 8.8</w:t>
      </w:r>
      <w:r w:rsidR="008972D3">
        <w:rPr>
          <w:lang w:val="en-US"/>
        </w:rPr>
        <w:t>%</w:t>
      </w:r>
      <w:r w:rsidRPr="00863CA9">
        <w:rPr>
          <w:lang w:val="en-US"/>
        </w:rPr>
        <w:t xml:space="preserve">. </w:t>
      </w:r>
      <w:r w:rsidR="008972D3">
        <w:rPr>
          <w:lang w:val="en-US"/>
        </w:rPr>
        <w:t>The m</w:t>
      </w:r>
      <w:r w:rsidRPr="00863CA9">
        <w:rPr>
          <w:lang w:val="en-US"/>
        </w:rPr>
        <w:t>anufacturing sector grew at a faster rate of 4.2</w:t>
      </w:r>
      <w:r w:rsidR="008972D3">
        <w:rPr>
          <w:lang w:val="en-US"/>
        </w:rPr>
        <w:t>%</w:t>
      </w:r>
      <w:r w:rsidRPr="00863CA9">
        <w:rPr>
          <w:lang w:val="en-US"/>
        </w:rPr>
        <w:t xml:space="preserve"> in 2018 compared to 0.5</w:t>
      </w:r>
      <w:r w:rsidR="008972D3">
        <w:rPr>
          <w:lang w:val="en-US"/>
        </w:rPr>
        <w:t>%</w:t>
      </w:r>
      <w:r w:rsidRPr="00863CA9">
        <w:rPr>
          <w:lang w:val="en-US"/>
        </w:rPr>
        <w:t xml:space="preserve"> in 2017 and this could also be explained by the big four agenda which focuses on enhancing manufacturing.</w:t>
      </w:r>
    </w:p>
    <w:p w14:paraId="4AE6F0CA" w14:textId="1C6589A2" w:rsidR="00863CA9" w:rsidRDefault="00863CA9" w:rsidP="00863CA9">
      <w:pPr>
        <w:jc w:val="both"/>
      </w:pPr>
    </w:p>
    <w:p w14:paraId="1CF606BA" w14:textId="4721FC97" w:rsidR="00A804CC" w:rsidRDefault="00A804CC" w:rsidP="00A804CC">
      <w:pPr>
        <w:pStyle w:val="Heading3"/>
        <w:rPr>
          <w:lang w:eastAsia="en-GB"/>
        </w:rPr>
      </w:pPr>
      <w:bookmarkStart w:id="7" w:name="_Toc16493263"/>
      <w:r>
        <w:rPr>
          <w:lang w:eastAsia="en-GB"/>
        </w:rPr>
        <w:lastRenderedPageBreak/>
        <w:t>Tanzania</w:t>
      </w:r>
      <w:bookmarkEnd w:id="7"/>
    </w:p>
    <w:p w14:paraId="7DE41899" w14:textId="3290AD6E" w:rsidR="00A804CC" w:rsidRDefault="00A804CC" w:rsidP="00A804CC"/>
    <w:p w14:paraId="23DEDF1A" w14:textId="47B3047F" w:rsidR="00A804CC" w:rsidRPr="00A804CC" w:rsidRDefault="00A804CC" w:rsidP="00A804CC">
      <w:pPr>
        <w:jc w:val="both"/>
        <w:rPr>
          <w:lang w:val="en-US"/>
        </w:rPr>
      </w:pPr>
      <w:r w:rsidRPr="00A804CC">
        <w:rPr>
          <w:lang w:val="en-US"/>
        </w:rPr>
        <w:t>The economy grew by 7.0</w:t>
      </w:r>
      <w:r>
        <w:rPr>
          <w:lang w:val="en-US"/>
        </w:rPr>
        <w:t>%</w:t>
      </w:r>
      <w:r w:rsidRPr="00A804CC">
        <w:rPr>
          <w:lang w:val="en-US"/>
        </w:rPr>
        <w:t xml:space="preserve"> in 2018, the highest level recorded since 2013. This rate of growth is higher than 6.8</w:t>
      </w:r>
      <w:r>
        <w:rPr>
          <w:lang w:val="en-US"/>
        </w:rPr>
        <w:t>%</w:t>
      </w:r>
      <w:r w:rsidRPr="00A804CC">
        <w:rPr>
          <w:lang w:val="en-US"/>
        </w:rPr>
        <w:t xml:space="preserve"> registered in 2017 largely due to strong performance of agriculture, industry and services which grew by 5.3</w:t>
      </w:r>
      <w:r>
        <w:rPr>
          <w:lang w:val="en-US"/>
        </w:rPr>
        <w:t>%</w:t>
      </w:r>
      <w:r w:rsidRPr="00A804CC">
        <w:rPr>
          <w:lang w:val="en-US"/>
        </w:rPr>
        <w:t>, 9.3</w:t>
      </w:r>
      <w:r>
        <w:rPr>
          <w:lang w:val="en-US"/>
        </w:rPr>
        <w:t>%</w:t>
      </w:r>
      <w:r w:rsidRPr="00A804CC">
        <w:rPr>
          <w:lang w:val="en-US"/>
        </w:rPr>
        <w:t xml:space="preserve"> and 6.3</w:t>
      </w:r>
      <w:r>
        <w:rPr>
          <w:lang w:val="en-US"/>
        </w:rPr>
        <w:t>%</w:t>
      </w:r>
      <w:r w:rsidRPr="00A804CC">
        <w:rPr>
          <w:lang w:val="en-US"/>
        </w:rPr>
        <w:t xml:space="preserve"> respectively. However, there was a slight decline in the rate of growth for agriculture (down by 0.6 percentage points) and industry (down by 1.3 percentage points) although the growth rate in services increased by 1 percentage point.</w:t>
      </w:r>
    </w:p>
    <w:p w14:paraId="735A1492" w14:textId="77777777" w:rsidR="00A804CC" w:rsidRPr="00A804CC" w:rsidRDefault="00A804CC" w:rsidP="00A804CC"/>
    <w:p w14:paraId="108E2F8E" w14:textId="4A2428F9" w:rsidR="00884854" w:rsidRDefault="00884854" w:rsidP="00884854">
      <w:pPr>
        <w:pStyle w:val="Heading3"/>
        <w:rPr>
          <w:lang w:eastAsia="en-GB"/>
        </w:rPr>
      </w:pPr>
      <w:bookmarkStart w:id="8" w:name="_Toc16493264"/>
      <w:r>
        <w:rPr>
          <w:lang w:eastAsia="en-GB"/>
        </w:rPr>
        <w:t>Rwanda</w:t>
      </w:r>
      <w:bookmarkEnd w:id="8"/>
    </w:p>
    <w:p w14:paraId="6844B8D0" w14:textId="2F72F408" w:rsidR="00884854" w:rsidRDefault="00884854" w:rsidP="00884854"/>
    <w:p w14:paraId="6E4D9239" w14:textId="43DF837D" w:rsidR="00884854" w:rsidRDefault="00884854" w:rsidP="00884854">
      <w:pPr>
        <w:jc w:val="both"/>
        <w:rPr>
          <w:lang w:val="en-US"/>
        </w:rPr>
      </w:pPr>
      <w:r w:rsidRPr="00884854">
        <w:rPr>
          <w:lang w:val="en-US"/>
        </w:rPr>
        <w:t>Rwanda’s economy expanded by 8.6</w:t>
      </w:r>
      <w:r>
        <w:rPr>
          <w:lang w:val="en-US"/>
        </w:rPr>
        <w:t>%</w:t>
      </w:r>
      <w:r w:rsidRPr="00884854">
        <w:rPr>
          <w:lang w:val="en-US"/>
        </w:rPr>
        <w:t xml:space="preserve"> in 2018 from 6.1</w:t>
      </w:r>
      <w:r>
        <w:rPr>
          <w:lang w:val="en-US"/>
        </w:rPr>
        <w:t>%</w:t>
      </w:r>
      <w:r w:rsidRPr="00884854">
        <w:rPr>
          <w:lang w:val="en-US"/>
        </w:rPr>
        <w:t xml:space="preserve"> in 2017 due to </w:t>
      </w:r>
      <w:r>
        <w:rPr>
          <w:lang w:val="en-US"/>
        </w:rPr>
        <w:t xml:space="preserve">a </w:t>
      </w:r>
      <w:r w:rsidRPr="00884854">
        <w:rPr>
          <w:lang w:val="en-US"/>
        </w:rPr>
        <w:t>strong performance of agriculture, industry and services. Output from agriculture sector increased by 6</w:t>
      </w:r>
      <w:r>
        <w:rPr>
          <w:lang w:val="en-US"/>
        </w:rPr>
        <w:t>%</w:t>
      </w:r>
      <w:r w:rsidRPr="00884854">
        <w:rPr>
          <w:lang w:val="en-US"/>
        </w:rPr>
        <w:t xml:space="preserve"> and contributed 1.6 percentage points to the overall GDP growth while output from industry sector rose by 10 percent and contributed 1.8 percentage points to the GDP. The output from services sector grew by 9</w:t>
      </w:r>
      <w:r>
        <w:rPr>
          <w:lang w:val="en-US"/>
        </w:rPr>
        <w:t>%</w:t>
      </w:r>
      <w:r w:rsidRPr="00884854">
        <w:rPr>
          <w:lang w:val="en-US"/>
        </w:rPr>
        <w:t xml:space="preserve"> and contributed 4.3 percentage points to the GDP.</w:t>
      </w:r>
    </w:p>
    <w:p w14:paraId="70C42ABF" w14:textId="77777777" w:rsidR="00884854" w:rsidRPr="00884854" w:rsidRDefault="00884854" w:rsidP="00884854">
      <w:pPr>
        <w:jc w:val="both"/>
        <w:rPr>
          <w:lang w:val="en-US"/>
        </w:rPr>
      </w:pPr>
    </w:p>
    <w:p w14:paraId="30EF7F1B" w14:textId="383EF55D" w:rsidR="00884854" w:rsidRPr="00884854" w:rsidRDefault="00884854" w:rsidP="00884854">
      <w:pPr>
        <w:jc w:val="both"/>
        <w:rPr>
          <w:lang w:val="en-US"/>
        </w:rPr>
      </w:pPr>
      <w:r w:rsidRPr="00884854">
        <w:rPr>
          <w:lang w:val="en-US"/>
        </w:rPr>
        <w:t>Growth in agriculture was due to increase of 3</w:t>
      </w:r>
      <w:r w:rsidR="001302E0">
        <w:rPr>
          <w:lang w:val="en-US"/>
        </w:rPr>
        <w:t>%</w:t>
      </w:r>
      <w:r w:rsidRPr="00884854">
        <w:rPr>
          <w:lang w:val="en-US"/>
        </w:rPr>
        <w:t xml:space="preserve"> in the harvest of food crops plus</w:t>
      </w:r>
      <w:r w:rsidR="001302E0">
        <w:rPr>
          <w:lang w:val="en-US"/>
        </w:rPr>
        <w:t xml:space="preserve"> a</w:t>
      </w:r>
      <w:r w:rsidRPr="00884854">
        <w:rPr>
          <w:lang w:val="en-US"/>
        </w:rPr>
        <w:t xml:space="preserve"> 14</w:t>
      </w:r>
      <w:r w:rsidR="001302E0">
        <w:rPr>
          <w:lang w:val="en-US"/>
        </w:rPr>
        <w:t xml:space="preserve">% </w:t>
      </w:r>
      <w:r w:rsidR="001302E0" w:rsidRPr="00884854">
        <w:rPr>
          <w:lang w:val="en-US"/>
        </w:rPr>
        <w:t>increase</w:t>
      </w:r>
      <w:r w:rsidRPr="00884854">
        <w:rPr>
          <w:lang w:val="en-US"/>
        </w:rPr>
        <w:t xml:space="preserve"> in livestock and livestock products. Growth in industry was mainly boosted by construction activities and manufacturing. Within the manufacturing sector food processing increased by 10</w:t>
      </w:r>
      <w:r w:rsidR="001302E0">
        <w:rPr>
          <w:lang w:val="en-US"/>
        </w:rPr>
        <w:t>%</w:t>
      </w:r>
      <w:r w:rsidRPr="00884854">
        <w:rPr>
          <w:lang w:val="en-US"/>
        </w:rPr>
        <w:t xml:space="preserve"> while locally made products like textiles, clothes and leather products increased by 26</w:t>
      </w:r>
      <w:r w:rsidR="001302E0">
        <w:rPr>
          <w:lang w:val="en-US"/>
        </w:rPr>
        <w:t>%</w:t>
      </w:r>
      <w:r w:rsidRPr="00884854">
        <w:rPr>
          <w:lang w:val="en-US"/>
        </w:rPr>
        <w:t xml:space="preserve"> buoyed by </w:t>
      </w:r>
      <w:r w:rsidRPr="00884854">
        <w:rPr>
          <w:i/>
          <w:lang w:val="en-US"/>
        </w:rPr>
        <w:t>“Made in Rwanda”</w:t>
      </w:r>
      <w:r w:rsidRPr="00884854">
        <w:rPr>
          <w:lang w:val="en-US"/>
        </w:rPr>
        <w:t xml:space="preserve"> strategy, manufacturing of metal products increased by 38</w:t>
      </w:r>
      <w:r w:rsidR="001302E0">
        <w:rPr>
          <w:lang w:val="en-US"/>
        </w:rPr>
        <w:t>%</w:t>
      </w:r>
      <w:r w:rsidRPr="00884854">
        <w:rPr>
          <w:lang w:val="en-US"/>
        </w:rPr>
        <w:t xml:space="preserve"> while non-metallic products increased by 15</w:t>
      </w:r>
      <w:r w:rsidR="001302E0">
        <w:rPr>
          <w:lang w:val="en-US"/>
        </w:rPr>
        <w:t>%</w:t>
      </w:r>
      <w:r w:rsidRPr="00884854">
        <w:rPr>
          <w:lang w:val="en-US"/>
        </w:rPr>
        <w:t>. In the services sector, transport grew by 16</w:t>
      </w:r>
      <w:r w:rsidR="001302E0">
        <w:rPr>
          <w:lang w:val="en-US"/>
        </w:rPr>
        <w:t xml:space="preserve">% </w:t>
      </w:r>
      <w:r w:rsidRPr="00884854">
        <w:rPr>
          <w:lang w:val="en-US"/>
        </w:rPr>
        <w:t>boosted mainly by air transport which increased by 36</w:t>
      </w:r>
      <w:r w:rsidR="001302E0">
        <w:rPr>
          <w:lang w:val="en-US"/>
        </w:rPr>
        <w:t>%</w:t>
      </w:r>
      <w:r w:rsidRPr="00884854">
        <w:rPr>
          <w:lang w:val="en-US"/>
        </w:rPr>
        <w:t>. Other components of services like wholesale and retail trade, hotel and restaurant, financial services, Information and Communication Technology (ICT) and public administration grew by 14</w:t>
      </w:r>
      <w:r w:rsidR="001302E0">
        <w:rPr>
          <w:lang w:val="en-US"/>
        </w:rPr>
        <w:t>%</w:t>
      </w:r>
      <w:r w:rsidRPr="00884854">
        <w:rPr>
          <w:lang w:val="en-US"/>
        </w:rPr>
        <w:t>, 11</w:t>
      </w:r>
      <w:r w:rsidR="001302E0">
        <w:rPr>
          <w:lang w:val="en-US"/>
        </w:rPr>
        <w:t>%</w:t>
      </w:r>
      <w:r w:rsidRPr="00884854">
        <w:rPr>
          <w:lang w:val="en-US"/>
        </w:rPr>
        <w:t>, 12</w:t>
      </w:r>
      <w:r w:rsidR="001302E0">
        <w:rPr>
          <w:lang w:val="en-US"/>
        </w:rPr>
        <w:t>%</w:t>
      </w:r>
      <w:r w:rsidRPr="00884854">
        <w:rPr>
          <w:lang w:val="en-US"/>
        </w:rPr>
        <w:t>, 14</w:t>
      </w:r>
      <w:r w:rsidR="001302E0">
        <w:rPr>
          <w:lang w:val="en-US"/>
        </w:rPr>
        <w:t>%</w:t>
      </w:r>
      <w:r w:rsidRPr="00884854">
        <w:rPr>
          <w:lang w:val="en-US"/>
        </w:rPr>
        <w:t xml:space="preserve"> and 27</w:t>
      </w:r>
      <w:r w:rsidR="001302E0">
        <w:rPr>
          <w:lang w:val="en-US"/>
        </w:rPr>
        <w:t>%</w:t>
      </w:r>
      <w:r w:rsidRPr="00884854">
        <w:rPr>
          <w:lang w:val="en-US"/>
        </w:rPr>
        <w:t xml:space="preserve"> respectively. Growth in hotel and restaurants is in part explained by developments in conference tourism.</w:t>
      </w:r>
    </w:p>
    <w:p w14:paraId="6808A308" w14:textId="77777777" w:rsidR="00884854" w:rsidRPr="00884854" w:rsidRDefault="00884854" w:rsidP="00884854"/>
    <w:p w14:paraId="6DD08125" w14:textId="56B5624D" w:rsidR="006140B8" w:rsidRDefault="006140B8" w:rsidP="006140B8">
      <w:pPr>
        <w:pStyle w:val="Heading3"/>
        <w:rPr>
          <w:lang w:eastAsia="en-GB"/>
        </w:rPr>
      </w:pPr>
      <w:bookmarkStart w:id="9" w:name="_Toc16493265"/>
      <w:r>
        <w:rPr>
          <w:lang w:eastAsia="en-GB"/>
        </w:rPr>
        <w:t>Uganda</w:t>
      </w:r>
      <w:bookmarkEnd w:id="9"/>
    </w:p>
    <w:p w14:paraId="7E5DD188" w14:textId="72F74FFD" w:rsidR="00E931D6" w:rsidRDefault="00E931D6" w:rsidP="00863CA9">
      <w:pPr>
        <w:jc w:val="both"/>
      </w:pPr>
    </w:p>
    <w:p w14:paraId="01CA49D8" w14:textId="3E21BC8C" w:rsidR="00767188" w:rsidRDefault="00767188" w:rsidP="00F05527">
      <w:pPr>
        <w:jc w:val="both"/>
        <w:rPr>
          <w:lang w:val="en-US"/>
        </w:rPr>
      </w:pPr>
      <w:r w:rsidRPr="00767188">
        <w:rPr>
          <w:lang w:val="en-US"/>
        </w:rPr>
        <w:t>In 2018, Uganda’s economy grew by 7.7</w:t>
      </w:r>
      <w:r>
        <w:rPr>
          <w:lang w:val="en-US"/>
        </w:rPr>
        <w:t>%</w:t>
      </w:r>
      <w:r w:rsidRPr="00767188">
        <w:rPr>
          <w:lang w:val="en-US"/>
        </w:rPr>
        <w:t xml:space="preserve"> from 4.5</w:t>
      </w:r>
      <w:r>
        <w:rPr>
          <w:lang w:val="en-US"/>
        </w:rPr>
        <w:t>%</w:t>
      </w:r>
      <w:r w:rsidRPr="00767188">
        <w:rPr>
          <w:lang w:val="en-US"/>
        </w:rPr>
        <w:t xml:space="preserve"> recorded in 2017 due to strong performance of services, industry and agriculture, forestry and fishing. Agriculture, forestry and fishing, industry and services grew by 5</w:t>
      </w:r>
      <w:r>
        <w:rPr>
          <w:lang w:val="en-US"/>
        </w:rPr>
        <w:t>%</w:t>
      </w:r>
      <w:r w:rsidRPr="00767188">
        <w:rPr>
          <w:lang w:val="en-US"/>
        </w:rPr>
        <w:t>, 9.2</w:t>
      </w:r>
      <w:r>
        <w:rPr>
          <w:lang w:val="en-US"/>
        </w:rPr>
        <w:t>%</w:t>
      </w:r>
      <w:r w:rsidRPr="00767188">
        <w:rPr>
          <w:lang w:val="en-US"/>
        </w:rPr>
        <w:t xml:space="preserve"> and 8.9</w:t>
      </w:r>
      <w:r>
        <w:rPr>
          <w:lang w:val="en-US"/>
        </w:rPr>
        <w:t>%</w:t>
      </w:r>
      <w:r w:rsidRPr="00767188">
        <w:rPr>
          <w:lang w:val="en-US"/>
        </w:rPr>
        <w:t xml:space="preserve"> respectively.</w:t>
      </w:r>
    </w:p>
    <w:p w14:paraId="2F4B1011" w14:textId="77777777" w:rsidR="00551DD7" w:rsidRDefault="00551DD7" w:rsidP="00F05527">
      <w:pPr>
        <w:jc w:val="both"/>
        <w:rPr>
          <w:lang w:val="en-US"/>
        </w:rPr>
      </w:pPr>
    </w:p>
    <w:p w14:paraId="2F3D1648" w14:textId="77777777" w:rsidR="00B53784" w:rsidRDefault="00B53784" w:rsidP="00B53784">
      <w:pPr>
        <w:jc w:val="both"/>
        <w:rPr>
          <w:lang w:val="en-US"/>
        </w:rPr>
      </w:pPr>
      <w:r w:rsidRPr="00767188">
        <w:rPr>
          <w:lang w:val="en-US"/>
        </w:rPr>
        <w:t>Growth in agriculture, forestry and fishing was due to strengthened enforcement of fishing which contributed to recovery in fish catch, provision of extension services, as well as control of pests and diseases</w:t>
      </w:r>
      <w:r>
        <w:rPr>
          <w:lang w:val="en-US"/>
        </w:rPr>
        <w:t>.</w:t>
      </w:r>
      <w:r w:rsidRPr="00767188">
        <w:rPr>
          <w:lang w:val="en-US"/>
        </w:rPr>
        <w:t xml:space="preserve"> </w:t>
      </w:r>
    </w:p>
    <w:p w14:paraId="558CA118" w14:textId="77777777" w:rsidR="00B53784" w:rsidRPr="00767188" w:rsidRDefault="00B53784" w:rsidP="00B53784">
      <w:pPr>
        <w:jc w:val="both"/>
        <w:rPr>
          <w:lang w:val="en-US"/>
        </w:rPr>
      </w:pPr>
    </w:p>
    <w:p w14:paraId="0F0D06DD" w14:textId="77777777" w:rsidR="00B53784" w:rsidRPr="00767188" w:rsidRDefault="00B53784" w:rsidP="00B53784">
      <w:pPr>
        <w:jc w:val="both"/>
        <w:rPr>
          <w:lang w:val="en-US"/>
        </w:rPr>
      </w:pPr>
      <w:r w:rsidRPr="00767188">
        <w:rPr>
          <w:lang w:val="en-US"/>
        </w:rPr>
        <w:t>Growth in industry was mainly boosted by manufacturing, construction and mining and quarrying which grew by 3.5</w:t>
      </w:r>
      <w:r>
        <w:rPr>
          <w:lang w:val="en-US"/>
        </w:rPr>
        <w:t>%</w:t>
      </w:r>
      <w:r w:rsidRPr="00767188">
        <w:rPr>
          <w:lang w:val="en-US"/>
        </w:rPr>
        <w:t>, 12.4</w:t>
      </w:r>
      <w:r>
        <w:rPr>
          <w:lang w:val="en-US"/>
        </w:rPr>
        <w:t>%</w:t>
      </w:r>
      <w:r w:rsidRPr="00767188">
        <w:rPr>
          <w:lang w:val="en-US"/>
        </w:rPr>
        <w:t xml:space="preserve"> and 29.9</w:t>
      </w:r>
      <w:r>
        <w:rPr>
          <w:lang w:val="en-US"/>
        </w:rPr>
        <w:t>%</w:t>
      </w:r>
      <w:r w:rsidRPr="00767188">
        <w:rPr>
          <w:lang w:val="en-US"/>
        </w:rPr>
        <w:t xml:space="preserve"> respectively in 2018. Components of services sector like trade and repairs, transport and storage, accommodation and food services, and Information and Communication Technology (ICT) grew by 8</w:t>
      </w:r>
      <w:r>
        <w:rPr>
          <w:lang w:val="en-US"/>
        </w:rPr>
        <w:t>%</w:t>
      </w:r>
      <w:r w:rsidRPr="00767188">
        <w:rPr>
          <w:lang w:val="en-US"/>
        </w:rPr>
        <w:t>, 7</w:t>
      </w:r>
      <w:r>
        <w:rPr>
          <w:lang w:val="en-US"/>
        </w:rPr>
        <w:t>%</w:t>
      </w:r>
      <w:r w:rsidRPr="00767188">
        <w:rPr>
          <w:lang w:val="en-US"/>
        </w:rPr>
        <w:t>, 7.8</w:t>
      </w:r>
      <w:r>
        <w:rPr>
          <w:lang w:val="en-US"/>
        </w:rPr>
        <w:t>%</w:t>
      </w:r>
      <w:r w:rsidRPr="00767188">
        <w:rPr>
          <w:lang w:val="en-US"/>
        </w:rPr>
        <w:t xml:space="preserve"> and 17.2</w:t>
      </w:r>
      <w:r>
        <w:rPr>
          <w:lang w:val="en-US"/>
        </w:rPr>
        <w:t>%</w:t>
      </w:r>
      <w:r w:rsidRPr="00767188">
        <w:rPr>
          <w:lang w:val="en-US"/>
        </w:rPr>
        <w:t xml:space="preserve"> respectively.</w:t>
      </w:r>
    </w:p>
    <w:p w14:paraId="0B8CAFB3" w14:textId="77777777" w:rsidR="00B53784" w:rsidRPr="00767188" w:rsidRDefault="00B53784" w:rsidP="00F05527">
      <w:pPr>
        <w:jc w:val="both"/>
        <w:rPr>
          <w:lang w:val="en-US"/>
        </w:rPr>
      </w:pPr>
    </w:p>
    <w:p w14:paraId="14C49E50" w14:textId="09E141AD" w:rsidR="006140B8" w:rsidRDefault="006140B8" w:rsidP="00863CA9">
      <w:pPr>
        <w:jc w:val="both"/>
      </w:pPr>
    </w:p>
    <w:p w14:paraId="73BAC6B0" w14:textId="46403F7C" w:rsidR="00032AE5" w:rsidRPr="00755328" w:rsidRDefault="00032AE5" w:rsidP="00032AE5">
      <w:pPr>
        <w:pStyle w:val="Caption"/>
        <w:rPr>
          <w:sz w:val="24"/>
          <w:szCs w:val="24"/>
        </w:rPr>
      </w:pPr>
      <w:bookmarkStart w:id="10" w:name="_Toc16493709"/>
      <w:r w:rsidRPr="00755328">
        <w:rPr>
          <w:sz w:val="24"/>
          <w:szCs w:val="24"/>
        </w:rPr>
        <w:t xml:space="preserve">Figure </w:t>
      </w:r>
      <w:r w:rsidRPr="00755328">
        <w:rPr>
          <w:sz w:val="24"/>
          <w:szCs w:val="24"/>
        </w:rPr>
        <w:fldChar w:fldCharType="begin"/>
      </w:r>
      <w:r w:rsidRPr="00755328">
        <w:rPr>
          <w:sz w:val="24"/>
          <w:szCs w:val="24"/>
        </w:rPr>
        <w:instrText xml:space="preserve"> SEQ Figure \* ARABIC </w:instrText>
      </w:r>
      <w:r w:rsidRPr="00755328">
        <w:rPr>
          <w:sz w:val="24"/>
          <w:szCs w:val="24"/>
        </w:rPr>
        <w:fldChar w:fldCharType="separate"/>
      </w:r>
      <w:r>
        <w:rPr>
          <w:noProof/>
          <w:sz w:val="24"/>
          <w:szCs w:val="24"/>
        </w:rPr>
        <w:t>2</w:t>
      </w:r>
      <w:r w:rsidRPr="00755328">
        <w:rPr>
          <w:sz w:val="24"/>
          <w:szCs w:val="24"/>
        </w:rPr>
        <w:fldChar w:fldCharType="end"/>
      </w:r>
      <w:r w:rsidRPr="00755328">
        <w:rPr>
          <w:sz w:val="24"/>
          <w:szCs w:val="24"/>
        </w:rPr>
        <w:t>: Uganda’s GDP performance for the past 10 years</w:t>
      </w:r>
      <w:bookmarkEnd w:id="10"/>
    </w:p>
    <w:p w14:paraId="21A14B0A" w14:textId="31D2DAB6" w:rsidR="00D55BF5" w:rsidRDefault="002E28D1" w:rsidP="00863CA9">
      <w:pPr>
        <w:jc w:val="both"/>
      </w:pPr>
      <w:r>
        <w:rPr>
          <w:noProof/>
          <w:lang w:val="en-US" w:eastAsia="en-US"/>
        </w:rPr>
        <w:lastRenderedPageBreak/>
        <w:drawing>
          <wp:inline distT="0" distB="0" distL="0" distR="0" wp14:anchorId="1F719D07" wp14:editId="30651B3E">
            <wp:extent cx="5727700" cy="2610091"/>
            <wp:effectExtent l="0" t="0" r="12700" b="635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011D5302" w14:textId="049DE05B" w:rsidR="002E28D1" w:rsidRPr="006A1F29" w:rsidRDefault="006E0072" w:rsidP="00863CA9">
      <w:pPr>
        <w:jc w:val="both"/>
        <w:rPr>
          <w:color w:val="44546A" w:themeColor="text2"/>
        </w:rPr>
      </w:pPr>
      <w:r w:rsidRPr="00755328">
        <w:rPr>
          <w:i/>
          <w:iCs/>
          <w:color w:val="44546A" w:themeColor="text2"/>
          <w:lang w:val="en-US"/>
        </w:rPr>
        <w:t>Source: Uganda Bureau of Statistics</w:t>
      </w:r>
    </w:p>
    <w:p w14:paraId="520091B5" w14:textId="37B4B6C3" w:rsidR="002E28D1" w:rsidRDefault="002E28D1" w:rsidP="00863CA9">
      <w:pPr>
        <w:jc w:val="both"/>
      </w:pPr>
    </w:p>
    <w:p w14:paraId="7298A725" w14:textId="77777777" w:rsidR="000A1228" w:rsidRPr="000A1228" w:rsidRDefault="000A1228" w:rsidP="000A1228">
      <w:pPr>
        <w:jc w:val="both"/>
        <w:rPr>
          <w:lang w:val="en-US"/>
        </w:rPr>
      </w:pPr>
      <w:r w:rsidRPr="000A1228">
        <w:rPr>
          <w:lang w:val="en-US"/>
        </w:rPr>
        <w:t>In comparison to other EAC Partner States, Rwanda registered the highest levels of economic growth in 2018, followed by Uganda.</w:t>
      </w:r>
    </w:p>
    <w:p w14:paraId="2AD4170E" w14:textId="6BF40687" w:rsidR="006E0072" w:rsidRDefault="006E0072" w:rsidP="00863CA9">
      <w:pPr>
        <w:jc w:val="both"/>
      </w:pPr>
    </w:p>
    <w:p w14:paraId="0BAB6A13" w14:textId="0BB8D202" w:rsidR="000A1228" w:rsidRDefault="001350EB" w:rsidP="00824F86">
      <w:pPr>
        <w:pStyle w:val="Caption"/>
        <w:rPr>
          <w:noProof/>
          <w:sz w:val="24"/>
          <w:szCs w:val="24"/>
        </w:rPr>
      </w:pPr>
      <w:r>
        <w:rPr>
          <w:sz w:val="24"/>
          <w:szCs w:val="24"/>
        </w:rPr>
        <w:t>Figure 3</w:t>
      </w:r>
      <w:r w:rsidR="00824F86" w:rsidRPr="00824F86">
        <w:rPr>
          <w:sz w:val="24"/>
          <w:szCs w:val="24"/>
        </w:rPr>
        <w:t xml:space="preserve">: GDP growth </w:t>
      </w:r>
      <w:r w:rsidR="00824F86" w:rsidRPr="00824F86">
        <w:rPr>
          <w:noProof/>
          <w:sz w:val="24"/>
          <w:szCs w:val="24"/>
        </w:rPr>
        <w:t>rates for selected EAC Partner States (%)</w:t>
      </w:r>
    </w:p>
    <w:p w14:paraId="1B3F3DDF" w14:textId="23003C70" w:rsidR="001350EB" w:rsidRPr="001350EB" w:rsidRDefault="001350EB" w:rsidP="001350EB">
      <w:pPr>
        <w:rPr>
          <w:lang w:eastAsia="en-US"/>
        </w:rPr>
      </w:pPr>
      <w:r>
        <w:rPr>
          <w:noProof/>
          <w:lang w:val="en-US" w:eastAsia="en-US"/>
        </w:rPr>
        <w:drawing>
          <wp:inline distT="0" distB="0" distL="0" distR="0" wp14:anchorId="5B1B68E8" wp14:editId="738992D1">
            <wp:extent cx="5695950" cy="2266950"/>
            <wp:effectExtent l="0" t="0" r="0" b="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65F1FE5F" w14:textId="761D82F4" w:rsidR="00824F86" w:rsidRPr="006A1F29" w:rsidRDefault="00165A3F" w:rsidP="00165A3F">
      <w:pPr>
        <w:jc w:val="both"/>
        <w:rPr>
          <w:color w:val="44546A" w:themeColor="text2"/>
        </w:rPr>
      </w:pPr>
      <w:r w:rsidRPr="00755328">
        <w:rPr>
          <w:i/>
          <w:iCs/>
          <w:color w:val="44546A" w:themeColor="text2"/>
          <w:lang w:val="en-US"/>
        </w:rPr>
        <w:t xml:space="preserve">Source: </w:t>
      </w:r>
      <w:r w:rsidR="00F05527">
        <w:rPr>
          <w:i/>
          <w:iCs/>
          <w:color w:val="44546A" w:themeColor="text2"/>
          <w:lang w:val="en-US"/>
        </w:rPr>
        <w:t xml:space="preserve">Respective Bureaus of Statistics </w:t>
      </w:r>
    </w:p>
    <w:p w14:paraId="6940843F" w14:textId="77777777" w:rsidR="00165A3F" w:rsidRDefault="00165A3F" w:rsidP="00824F86"/>
    <w:p w14:paraId="15D08479" w14:textId="16590311" w:rsidR="008D7742" w:rsidRPr="008D7742" w:rsidRDefault="008D7742" w:rsidP="008D7742">
      <w:pPr>
        <w:pStyle w:val="Heading2"/>
        <w:rPr>
          <w:bCs/>
          <w:lang w:val="en-US" w:eastAsia="en-GB"/>
        </w:rPr>
      </w:pPr>
      <w:bookmarkStart w:id="11" w:name="_Toc16493266"/>
      <w:r w:rsidRPr="008D7742">
        <w:rPr>
          <w:bCs/>
          <w:lang w:val="en-US" w:eastAsia="en-GB"/>
        </w:rPr>
        <w:t>GDP growth performance in Sub-Saharan Africa</w:t>
      </w:r>
      <w:bookmarkEnd w:id="11"/>
    </w:p>
    <w:p w14:paraId="3534541B" w14:textId="6FD769DE" w:rsidR="008D7742" w:rsidRDefault="008D7742" w:rsidP="008D7742">
      <w:pPr>
        <w:pStyle w:val="Heading2"/>
        <w:rPr>
          <w:lang w:eastAsia="en-GB"/>
        </w:rPr>
      </w:pPr>
    </w:p>
    <w:p w14:paraId="2778AFB0" w14:textId="170A8D13" w:rsidR="00CB3535" w:rsidRDefault="00CB3535" w:rsidP="00CB3535">
      <w:pPr>
        <w:jc w:val="both"/>
        <w:rPr>
          <w:lang w:val="en-US"/>
        </w:rPr>
      </w:pPr>
      <w:r w:rsidRPr="00CB3535">
        <w:rPr>
          <w:lang w:val="en-US"/>
        </w:rPr>
        <w:t>Growth in Sub-Saharan Africa is projected at 2.3</w:t>
      </w:r>
      <w:r w:rsidR="00E6454F">
        <w:rPr>
          <w:lang w:val="en-US"/>
        </w:rPr>
        <w:t>%</w:t>
      </w:r>
      <w:r w:rsidRPr="00CB3535">
        <w:rPr>
          <w:lang w:val="en-US"/>
        </w:rPr>
        <w:t>, down from 2.5</w:t>
      </w:r>
      <w:r w:rsidR="00E6454F">
        <w:rPr>
          <w:lang w:val="en-US"/>
        </w:rPr>
        <w:t xml:space="preserve">% </w:t>
      </w:r>
      <w:r w:rsidRPr="00CB3535">
        <w:rPr>
          <w:lang w:val="en-US"/>
        </w:rPr>
        <w:t>in 2017. The performance in 2018 reflects ongoing global uncertainty and domestic macroeconomic instability including poorly managed debt, inflation and fiscal deficits, political and regulatory uncertainty that are having negative effects on some of the countries.</w:t>
      </w:r>
    </w:p>
    <w:p w14:paraId="0AD2C289" w14:textId="77777777" w:rsidR="00E6454F" w:rsidRPr="00CB3535" w:rsidRDefault="00E6454F" w:rsidP="00CB3535">
      <w:pPr>
        <w:jc w:val="both"/>
        <w:rPr>
          <w:lang w:val="en-US"/>
        </w:rPr>
      </w:pPr>
    </w:p>
    <w:p w14:paraId="5BF8B09A" w14:textId="565DF250" w:rsidR="00CB3535" w:rsidRDefault="00CB3535" w:rsidP="00CB3535">
      <w:pPr>
        <w:jc w:val="both"/>
        <w:rPr>
          <w:lang w:val="en-US"/>
        </w:rPr>
      </w:pPr>
      <w:r w:rsidRPr="00CB3535">
        <w:rPr>
          <w:lang w:val="en-US"/>
        </w:rPr>
        <w:t>The three biggest economies in Sub-Saharan Africa are Nigeria, South Africa and Angola. In Nigeria for example, growth was registered at 1.9</w:t>
      </w:r>
      <w:r w:rsidR="00E6454F">
        <w:rPr>
          <w:lang w:val="en-US"/>
        </w:rPr>
        <w:t>%</w:t>
      </w:r>
      <w:r w:rsidRPr="00CB3535">
        <w:rPr>
          <w:lang w:val="en-US"/>
        </w:rPr>
        <w:t>, up from 0.8</w:t>
      </w:r>
      <w:r w:rsidR="00E6454F">
        <w:rPr>
          <w:lang w:val="en-US"/>
        </w:rPr>
        <w:t>%</w:t>
      </w:r>
      <w:r w:rsidRPr="00CB3535">
        <w:rPr>
          <w:lang w:val="en-US"/>
        </w:rPr>
        <w:t xml:space="preserve"> in 2017 which reflects a modest pick-up in the non-oil economy. South Africa also came out of a recession during the third quarter of 2018 although throughout the year growth was subdued at 0.8</w:t>
      </w:r>
      <w:r w:rsidR="00E6454F">
        <w:rPr>
          <w:lang w:val="en-US"/>
        </w:rPr>
        <w:t>%</w:t>
      </w:r>
      <w:r w:rsidRPr="00CB3535">
        <w:rPr>
          <w:lang w:val="en-US"/>
        </w:rPr>
        <w:t xml:space="preserve"> largely due to policy uncertainty which held back investment. Angola, the region’s third-largest economy remained in a recession with growth falling sharply as oil production stayed weak.</w:t>
      </w:r>
    </w:p>
    <w:p w14:paraId="6D25CA57" w14:textId="77777777" w:rsidR="00E6454F" w:rsidRPr="00CB3535" w:rsidRDefault="00E6454F" w:rsidP="00CB3535">
      <w:pPr>
        <w:jc w:val="both"/>
        <w:rPr>
          <w:lang w:val="en-US"/>
        </w:rPr>
      </w:pPr>
    </w:p>
    <w:p w14:paraId="6E9BF097" w14:textId="7C2BF996" w:rsidR="00CB3535" w:rsidRDefault="00CB3535" w:rsidP="00CB3535">
      <w:pPr>
        <w:jc w:val="both"/>
        <w:rPr>
          <w:lang w:val="en-US"/>
        </w:rPr>
      </w:pPr>
      <w:r w:rsidRPr="00CB3535">
        <w:rPr>
          <w:lang w:val="en-US"/>
        </w:rPr>
        <w:t>Growth picked up in some resource intensive countries like Democratic Republic of Congo and Niger as stronger mining production and commodity prices boosted activity alongside a rebound in agriculture production and public investment in infrastructure. Non-resource intensive economies like Kenya, Rwanda, Uganda, Benin and Cote d’Ivoire recorded solid economic growth in 2018</w:t>
      </w:r>
      <w:r w:rsidR="00262F8B">
        <w:rPr>
          <w:lang w:val="en-US"/>
        </w:rPr>
        <w:t>.</w:t>
      </w:r>
    </w:p>
    <w:p w14:paraId="3E12D7D5" w14:textId="77777777" w:rsidR="00262F8B" w:rsidRPr="00CB3535" w:rsidRDefault="00262F8B" w:rsidP="00CB3535">
      <w:pPr>
        <w:jc w:val="both"/>
        <w:rPr>
          <w:lang w:val="en-US"/>
        </w:rPr>
      </w:pPr>
    </w:p>
    <w:p w14:paraId="6F69B93A" w14:textId="2D2A6DEE" w:rsidR="00CB3535" w:rsidRDefault="00CB3535" w:rsidP="00CB3535">
      <w:pPr>
        <w:jc w:val="both"/>
        <w:rPr>
          <w:lang w:val="en-US"/>
        </w:rPr>
      </w:pPr>
      <w:r w:rsidRPr="00CB3535">
        <w:rPr>
          <w:lang w:val="en-US"/>
        </w:rPr>
        <w:t>In 2019, GDP growth is forecast at 3.4</w:t>
      </w:r>
      <w:r w:rsidR="00262F8B">
        <w:rPr>
          <w:lang w:val="en-US"/>
        </w:rPr>
        <w:t>%</w:t>
      </w:r>
      <w:r w:rsidRPr="00CB3535">
        <w:rPr>
          <w:lang w:val="en-US"/>
        </w:rPr>
        <w:t xml:space="preserve"> reflecting a modest recovery from a downturn that began in 2015. Sub-Saharan Africa’s largest 3 economies-Nigeria, South Africa and Angola are predicted to grow below the regional average. However, non-commodity driven markets like </w:t>
      </w:r>
      <w:proofErr w:type="spellStart"/>
      <w:r w:rsidRPr="00CB3535">
        <w:rPr>
          <w:lang w:val="en-US"/>
        </w:rPr>
        <w:t>Bukina</w:t>
      </w:r>
      <w:proofErr w:type="spellEnd"/>
      <w:r w:rsidRPr="00CB3535">
        <w:rPr>
          <w:lang w:val="en-US"/>
        </w:rPr>
        <w:t xml:space="preserve"> Faso, Cote d’Ivoire, Ethiopia, Ghana, Niger, Rwanda, Senegal, Tanzania and Uganda are projected to have growth rates of over 6</w:t>
      </w:r>
      <w:r w:rsidR="00262F8B">
        <w:rPr>
          <w:lang w:val="en-US"/>
        </w:rPr>
        <w:t>%</w:t>
      </w:r>
      <w:r w:rsidRPr="00CB3535">
        <w:rPr>
          <w:lang w:val="en-US"/>
        </w:rPr>
        <w:t>.</w:t>
      </w:r>
    </w:p>
    <w:p w14:paraId="4FC80446" w14:textId="4758CFD7" w:rsidR="00262F8B" w:rsidRDefault="00262F8B" w:rsidP="00CB3535">
      <w:pPr>
        <w:jc w:val="both"/>
        <w:rPr>
          <w:lang w:val="en-US"/>
        </w:rPr>
      </w:pPr>
    </w:p>
    <w:p w14:paraId="53075246" w14:textId="6A41743D" w:rsidR="00CF340C" w:rsidRDefault="00CF340C">
      <w:pPr>
        <w:rPr>
          <w:lang w:val="en-US"/>
        </w:rPr>
      </w:pPr>
      <w:r>
        <w:rPr>
          <w:lang w:val="en-US"/>
        </w:rPr>
        <w:br w:type="page"/>
      </w:r>
    </w:p>
    <w:p w14:paraId="6B017BA4" w14:textId="76C17B7D" w:rsidR="003655C7" w:rsidRDefault="003655C7" w:rsidP="007C14FC">
      <w:pPr>
        <w:pStyle w:val="Heading1"/>
        <w:rPr>
          <w:lang w:eastAsia="en-GB"/>
        </w:rPr>
      </w:pPr>
      <w:bookmarkStart w:id="12" w:name="_Toc16493267"/>
      <w:r>
        <w:rPr>
          <w:lang w:eastAsia="en-GB"/>
        </w:rPr>
        <w:lastRenderedPageBreak/>
        <w:t>Determinants of growth</w:t>
      </w:r>
      <w:bookmarkEnd w:id="12"/>
    </w:p>
    <w:p w14:paraId="113EB717" w14:textId="2E02A76D" w:rsidR="007C14FC" w:rsidRDefault="007C14FC" w:rsidP="003655C7"/>
    <w:p w14:paraId="45625D75" w14:textId="28BE7F6F" w:rsidR="00331E72" w:rsidRDefault="00E502F2" w:rsidP="00F05527">
      <w:pPr>
        <w:jc w:val="both"/>
      </w:pPr>
      <w:r>
        <w:t xml:space="preserve">Government policy has a big role to play in influencing the rate of economic growth both directly and indirectly. </w:t>
      </w:r>
      <w:r w:rsidR="004454FE">
        <w:t>From NDPII</w:t>
      </w:r>
      <w:r w:rsidR="001350EB">
        <w:t>, government prioritizes investment in 5 areas with the greatest multiplier effect on the economy and these are</w:t>
      </w:r>
      <w:r w:rsidR="00EE5211">
        <w:t xml:space="preserve">: agriculture, tourism, minerals, oil and gas, infrastructure development and human capital development. </w:t>
      </w:r>
      <w:r>
        <w:t>I</w:t>
      </w:r>
      <w:r w:rsidR="00BF2088">
        <w:t>n FY2017/18 and FY2018/19</w:t>
      </w:r>
      <w:r>
        <w:t>, the higher economic growth rates registered</w:t>
      </w:r>
      <w:r w:rsidR="00BF2088">
        <w:t xml:space="preserve"> are largely due to </w:t>
      </w:r>
      <w:r>
        <w:t>government policies employed in the</w:t>
      </w:r>
      <w:r w:rsidR="00EE5211">
        <w:t>se</w:t>
      </w:r>
      <w:r>
        <w:t xml:space="preserve"> </w:t>
      </w:r>
      <w:r w:rsidR="005742A7">
        <w:t xml:space="preserve">priority </w:t>
      </w:r>
      <w:r>
        <w:t xml:space="preserve">sectors. </w:t>
      </w:r>
    </w:p>
    <w:p w14:paraId="73DB7D68" w14:textId="77777777" w:rsidR="00331E72" w:rsidRDefault="00331E72" w:rsidP="00F05527">
      <w:pPr>
        <w:jc w:val="both"/>
      </w:pPr>
    </w:p>
    <w:p w14:paraId="65699BE8" w14:textId="3942AFA4" w:rsidR="00EE5211" w:rsidRDefault="00E502F2" w:rsidP="00F05527">
      <w:pPr>
        <w:jc w:val="both"/>
      </w:pPr>
      <w:r>
        <w:t xml:space="preserve">In agriculture sector for example, strong enforcement of fishing standards has led to recovery in fish harvest thus translating into higher growth rates for the fishing sub-sector. </w:t>
      </w:r>
      <w:r w:rsidR="00EE5211">
        <w:t>In addition to strong enforcement, p</w:t>
      </w:r>
      <w:r>
        <w:t xml:space="preserve">rovision of extension services </w:t>
      </w:r>
      <w:r w:rsidR="00EE5211">
        <w:t>(</w:t>
      </w:r>
      <w:r>
        <w:t xml:space="preserve">which </w:t>
      </w:r>
      <w:r w:rsidR="005742A7">
        <w:t>are</w:t>
      </w:r>
      <w:r>
        <w:t xml:space="preserve"> predominantly provided by government</w:t>
      </w:r>
      <w:r w:rsidR="00EE5211">
        <w:t xml:space="preserve">) through Operation Wealth Creation </w:t>
      </w:r>
      <w:r>
        <w:t xml:space="preserve">also </w:t>
      </w:r>
      <w:r w:rsidR="00EE5211">
        <w:t>led to</w:t>
      </w:r>
      <w:r>
        <w:t xml:space="preserve"> higher growth for agriculture support services. </w:t>
      </w:r>
      <w:r w:rsidR="00EE5211">
        <w:t>Focus of government policy was also geared towards i</w:t>
      </w:r>
      <w:r>
        <w:t xml:space="preserve">ncreased control of pests and diseases </w:t>
      </w:r>
      <w:r w:rsidR="00EE5211">
        <w:t>following breakout of the armyworm in FY2016/17 which destroyed maize during that time. All th</w:t>
      </w:r>
      <w:r w:rsidR="00577915">
        <w:t>ese policies</w:t>
      </w:r>
      <w:r w:rsidR="00EE5211">
        <w:t xml:space="preserve"> supported</w:t>
      </w:r>
      <w:r>
        <w:t xml:space="preserve"> bumper harvests for </w:t>
      </w:r>
      <w:r w:rsidR="00577915">
        <w:t xml:space="preserve">food crops like </w:t>
      </w:r>
      <w:r>
        <w:t xml:space="preserve">maize, beans, fruits, vegetables and </w:t>
      </w:r>
      <w:proofErr w:type="spellStart"/>
      <w:r>
        <w:t>simsim</w:t>
      </w:r>
      <w:proofErr w:type="spellEnd"/>
      <w:r w:rsidR="00EE5211">
        <w:t xml:space="preserve"> experienced in FY2018/19</w:t>
      </w:r>
      <w:r>
        <w:t>.</w:t>
      </w:r>
      <w:r w:rsidR="004454FE">
        <w:t xml:space="preserve"> </w:t>
      </w:r>
    </w:p>
    <w:p w14:paraId="4E729326" w14:textId="77777777" w:rsidR="00EE5211" w:rsidRDefault="00EE5211" w:rsidP="00F05527">
      <w:pPr>
        <w:jc w:val="both"/>
      </w:pPr>
    </w:p>
    <w:p w14:paraId="75E742E7" w14:textId="1E0E08AF" w:rsidR="004A6647" w:rsidRDefault="00EE5211" w:rsidP="00F05527">
      <w:pPr>
        <w:jc w:val="both"/>
        <w:rPr>
          <w:lang w:val="en-US"/>
        </w:rPr>
      </w:pPr>
      <w:r>
        <w:t>Performance</w:t>
      </w:r>
      <w:r w:rsidR="00F05527" w:rsidRPr="002302D5">
        <w:rPr>
          <w:lang w:val="en-US"/>
        </w:rPr>
        <w:t xml:space="preserve"> in the services sector was largely driven by tourism and hospitality. </w:t>
      </w:r>
      <w:r w:rsidR="004454FE">
        <w:rPr>
          <w:lang w:val="en-US"/>
        </w:rPr>
        <w:t xml:space="preserve">Tourism is </w:t>
      </w:r>
      <w:r w:rsidR="004A6647">
        <w:rPr>
          <w:lang w:val="en-US"/>
        </w:rPr>
        <w:t xml:space="preserve">one of the </w:t>
      </w:r>
      <w:r w:rsidR="00491F47">
        <w:rPr>
          <w:lang w:val="en-US"/>
        </w:rPr>
        <w:t>key growth sectors</w:t>
      </w:r>
      <w:r w:rsidR="004454FE">
        <w:rPr>
          <w:lang w:val="en-US"/>
        </w:rPr>
        <w:t xml:space="preserve"> because of its great multiplier effect on the economy. </w:t>
      </w:r>
      <w:r w:rsidR="00715C22">
        <w:rPr>
          <w:lang w:val="en-US"/>
        </w:rPr>
        <w:t>Tourism and hospitality recorded a growth rate of 12% in FY2018/19 from 1.2% in FY2017/18</w:t>
      </w:r>
      <w:r w:rsidR="00E00C5D">
        <w:rPr>
          <w:lang w:val="en-US"/>
        </w:rPr>
        <w:t xml:space="preserve">, largely due to government’s campaign in marketing Uganda’s tourism potential through </w:t>
      </w:r>
      <w:r w:rsidR="00E00C5D" w:rsidRPr="00E00C5D">
        <w:rPr>
          <w:i/>
          <w:lang w:val="en-US"/>
        </w:rPr>
        <w:t>‘</w:t>
      </w:r>
      <w:proofErr w:type="spellStart"/>
      <w:r w:rsidR="00E00C5D" w:rsidRPr="00E00C5D">
        <w:rPr>
          <w:i/>
          <w:lang w:val="en-US"/>
        </w:rPr>
        <w:t>Tulambule</w:t>
      </w:r>
      <w:proofErr w:type="spellEnd"/>
      <w:r w:rsidR="00E00C5D" w:rsidRPr="00E00C5D">
        <w:rPr>
          <w:i/>
          <w:lang w:val="en-US"/>
        </w:rPr>
        <w:t>’</w:t>
      </w:r>
      <w:r w:rsidR="00715C22">
        <w:rPr>
          <w:lang w:val="en-US"/>
        </w:rPr>
        <w:t>.</w:t>
      </w:r>
      <w:r w:rsidR="00233BF1">
        <w:rPr>
          <w:lang w:val="en-US"/>
        </w:rPr>
        <w:t xml:space="preserve"> Tourism is currently the highest foreign exchange earner for the country.</w:t>
      </w:r>
    </w:p>
    <w:p w14:paraId="194CACF1" w14:textId="77777777" w:rsidR="004A6647" w:rsidRDefault="004A6647" w:rsidP="00F05527">
      <w:pPr>
        <w:jc w:val="both"/>
        <w:rPr>
          <w:lang w:val="en-US"/>
        </w:rPr>
      </w:pPr>
    </w:p>
    <w:p w14:paraId="5DFE7831" w14:textId="2648794E" w:rsidR="00F05527" w:rsidRPr="00EE5211" w:rsidRDefault="00F05527" w:rsidP="00F05527">
      <w:pPr>
        <w:jc w:val="both"/>
      </w:pPr>
      <w:r w:rsidRPr="002302D5">
        <w:rPr>
          <w:lang w:val="en-US"/>
        </w:rPr>
        <w:t>For industry</w:t>
      </w:r>
      <w:r w:rsidR="00331E72">
        <w:rPr>
          <w:lang w:val="en-US"/>
        </w:rPr>
        <w:t xml:space="preserve"> sector</w:t>
      </w:r>
      <w:r w:rsidRPr="002302D5">
        <w:rPr>
          <w:lang w:val="en-US"/>
        </w:rPr>
        <w:t>, manufacturing performed well growing at 2.8</w:t>
      </w:r>
      <w:r>
        <w:rPr>
          <w:lang w:val="en-US"/>
        </w:rPr>
        <w:t>%</w:t>
      </w:r>
      <w:r w:rsidRPr="002302D5">
        <w:rPr>
          <w:lang w:val="en-US"/>
        </w:rPr>
        <w:t xml:space="preserve"> in FY2018/19 from 1.7</w:t>
      </w:r>
      <w:r>
        <w:rPr>
          <w:lang w:val="en-US"/>
        </w:rPr>
        <w:t xml:space="preserve">% </w:t>
      </w:r>
      <w:r w:rsidRPr="002302D5">
        <w:rPr>
          <w:lang w:val="en-US"/>
        </w:rPr>
        <w:t xml:space="preserve">in FY2017/18. This was on account of newly commissioned factories that led to increased industrial activity in food processing, production of cement, iron and steel. </w:t>
      </w:r>
    </w:p>
    <w:p w14:paraId="0655DB54" w14:textId="77777777" w:rsidR="00F05527" w:rsidRPr="002302D5" w:rsidRDefault="00F05527" w:rsidP="00F05527">
      <w:pPr>
        <w:jc w:val="both"/>
        <w:rPr>
          <w:lang w:val="en-US"/>
        </w:rPr>
      </w:pPr>
    </w:p>
    <w:p w14:paraId="26CBCBBB" w14:textId="71E9048A" w:rsidR="00F05527" w:rsidRDefault="00F05527" w:rsidP="00F05527">
      <w:pPr>
        <w:jc w:val="both"/>
        <w:rPr>
          <w:lang w:val="en-US"/>
        </w:rPr>
      </w:pPr>
      <w:r w:rsidRPr="002302D5">
        <w:rPr>
          <w:lang w:val="en-US"/>
        </w:rPr>
        <w:t>From the expenditure side, there was higher household final consumption</w:t>
      </w:r>
      <w:r w:rsidR="00106796">
        <w:rPr>
          <w:lang w:val="en-US"/>
        </w:rPr>
        <w:t xml:space="preserve"> partly explained by a stable macroeconomic environment characterized by low inflation (averaging 3.1% during the financial year) and stable exchange rate</w:t>
      </w:r>
      <w:r w:rsidR="003825C9">
        <w:rPr>
          <w:lang w:val="en-US"/>
        </w:rPr>
        <w:t>.</w:t>
      </w:r>
      <w:r w:rsidRPr="002302D5">
        <w:rPr>
          <w:lang w:val="en-US"/>
        </w:rPr>
        <w:t xml:space="preserve"> </w:t>
      </w:r>
      <w:r w:rsidR="003825C9">
        <w:rPr>
          <w:lang w:val="en-US"/>
        </w:rPr>
        <w:t>Similarly, there was higher growth rate for</w:t>
      </w:r>
      <w:r w:rsidRPr="002302D5">
        <w:rPr>
          <w:lang w:val="en-US"/>
        </w:rPr>
        <w:t xml:space="preserve"> investment particularly in mineral and petroleum exploration</w:t>
      </w:r>
      <w:r w:rsidR="003825C9">
        <w:rPr>
          <w:lang w:val="en-US"/>
        </w:rPr>
        <w:t xml:space="preserve"> of which minerals, oil and gas is identified in NDPII as a </w:t>
      </w:r>
      <w:r w:rsidR="00491F47">
        <w:rPr>
          <w:lang w:val="en-US"/>
        </w:rPr>
        <w:t>key growth sector</w:t>
      </w:r>
      <w:r w:rsidRPr="002302D5">
        <w:rPr>
          <w:lang w:val="en-US"/>
        </w:rPr>
        <w:t>.</w:t>
      </w:r>
    </w:p>
    <w:p w14:paraId="43F1E4D4" w14:textId="77777777" w:rsidR="005742A7" w:rsidRDefault="005742A7" w:rsidP="00F05527">
      <w:pPr>
        <w:jc w:val="both"/>
        <w:rPr>
          <w:lang w:val="en-US"/>
        </w:rPr>
      </w:pPr>
    </w:p>
    <w:p w14:paraId="31E45F13" w14:textId="54981E73" w:rsidR="005742A7" w:rsidRDefault="005742A7" w:rsidP="00F05527">
      <w:pPr>
        <w:jc w:val="both"/>
        <w:rPr>
          <w:lang w:val="en-US"/>
        </w:rPr>
      </w:pPr>
    </w:p>
    <w:p w14:paraId="735390D5" w14:textId="77777777" w:rsidR="00F05527" w:rsidRPr="002302D5" w:rsidRDefault="00F05527" w:rsidP="00F05527">
      <w:pPr>
        <w:jc w:val="both"/>
        <w:rPr>
          <w:lang w:val="en-US"/>
        </w:rPr>
      </w:pPr>
    </w:p>
    <w:p w14:paraId="03995811" w14:textId="77777777" w:rsidR="007C14FC" w:rsidRDefault="007C14FC" w:rsidP="003655C7"/>
    <w:tbl>
      <w:tblPr>
        <w:tblStyle w:val="TableGrid"/>
        <w:tblW w:w="0" w:type="auto"/>
        <w:tblLook w:val="04A0" w:firstRow="1" w:lastRow="0" w:firstColumn="1" w:lastColumn="0" w:noHBand="0" w:noVBand="1"/>
      </w:tblPr>
      <w:tblGrid>
        <w:gridCol w:w="9010"/>
      </w:tblGrid>
      <w:tr w:rsidR="0062386D" w14:paraId="7F8BF6F9" w14:textId="77777777" w:rsidTr="001C39E7">
        <w:tc>
          <w:tcPr>
            <w:tcW w:w="9010" w:type="dxa"/>
            <w:shd w:val="clear" w:color="auto" w:fill="D9E2F3" w:themeFill="accent1" w:themeFillTint="33"/>
          </w:tcPr>
          <w:p w14:paraId="5E24622A" w14:textId="77777777" w:rsidR="0062386D" w:rsidRPr="0062386D" w:rsidRDefault="0062386D" w:rsidP="0062386D">
            <w:pPr>
              <w:pStyle w:val="Heading2"/>
              <w:rPr>
                <w:rFonts w:eastAsiaTheme="minorHAnsi"/>
              </w:rPr>
            </w:pPr>
            <w:bookmarkStart w:id="13" w:name="_Toc16493268"/>
            <w:r w:rsidRPr="0062386D">
              <w:rPr>
                <w:rFonts w:eastAsiaTheme="minorHAnsi"/>
              </w:rPr>
              <w:lastRenderedPageBreak/>
              <w:t>Case study: Economic complexity</w:t>
            </w:r>
            <w:bookmarkEnd w:id="13"/>
          </w:p>
          <w:p w14:paraId="77330C64" w14:textId="77777777" w:rsidR="0062386D" w:rsidRDefault="0062386D" w:rsidP="003655C7"/>
          <w:p w14:paraId="30A65477" w14:textId="70D1AF52" w:rsidR="007C14FC" w:rsidRPr="007C14FC" w:rsidRDefault="007C14FC" w:rsidP="000D26F3">
            <w:pPr>
              <w:spacing w:after="120"/>
              <w:jc w:val="both"/>
            </w:pPr>
            <w:r w:rsidRPr="007C14FC">
              <w:t xml:space="preserve">Recently researchers at Harvard University's </w:t>
            </w:r>
            <w:proofErr w:type="spellStart"/>
            <w:r w:rsidRPr="007C14FC">
              <w:t>Center</w:t>
            </w:r>
            <w:proofErr w:type="spellEnd"/>
            <w:r w:rsidRPr="007C14FC">
              <w:t xml:space="preserve"> for International Development Growth Lab</w:t>
            </w:r>
            <w:r w:rsidR="002226DE">
              <w:rPr>
                <w:rStyle w:val="FootnoteReference"/>
              </w:rPr>
              <w:footnoteReference w:id="1"/>
            </w:r>
            <w:r w:rsidRPr="007C14FC">
              <w:t xml:space="preserve"> have predicted Uganda to be one of the fastest growing economies in the world in the coming decade.</w:t>
            </w:r>
          </w:p>
          <w:p w14:paraId="78032368" w14:textId="77777777" w:rsidR="007C14FC" w:rsidRPr="007C14FC" w:rsidRDefault="007C14FC" w:rsidP="000D26F3">
            <w:pPr>
              <w:spacing w:after="120"/>
              <w:jc w:val="both"/>
            </w:pPr>
          </w:p>
          <w:p w14:paraId="2B72463E" w14:textId="4440F4D6" w:rsidR="007C14FC" w:rsidRPr="007C14FC" w:rsidRDefault="007C14FC" w:rsidP="000D26F3">
            <w:pPr>
              <w:spacing w:after="120"/>
              <w:jc w:val="both"/>
            </w:pPr>
            <w:r w:rsidRPr="007C14FC">
              <w:t>This is based on an indicator developed by the Atlas of Economic Complexity</w:t>
            </w:r>
            <w:r w:rsidR="00014BC7">
              <w:rPr>
                <w:rStyle w:val="FootnoteReference"/>
              </w:rPr>
              <w:footnoteReference w:id="2"/>
            </w:r>
            <w:r w:rsidRPr="007C14FC">
              <w:t>, called economic complexity. Essentially it is an indicator of the diversity and sophistication of the productive capabilities embedded in the exports of a country. To put it simply, rich countries tend to do many complex things, like building computers or vehicles or making movies. These products require a lot of collaboration, and also a lot of learnt knowledge, and practice. In contrast, poor countries tend to do a few, simple things, such as exporting agricultural produce, or primary commodities, and maybe some light manufactures. The collaboration and embedded knowledge required for these outputs is less. However, as a country develops it learns how to move into more complex industries, and so is able to produce a greater range of products. As a country learns how to produce a new product, it opens up avenues for it to learn to make similar products.</w:t>
            </w:r>
          </w:p>
          <w:p w14:paraId="59FD7CEF" w14:textId="77777777" w:rsidR="007C14FC" w:rsidRPr="007C14FC" w:rsidRDefault="007C14FC" w:rsidP="000D26F3">
            <w:pPr>
              <w:spacing w:after="120"/>
              <w:jc w:val="both"/>
            </w:pPr>
          </w:p>
          <w:p w14:paraId="6CAEB071" w14:textId="77777777" w:rsidR="007C14FC" w:rsidRPr="007C14FC" w:rsidRDefault="007C14FC" w:rsidP="000D26F3">
            <w:pPr>
              <w:spacing w:after="120"/>
              <w:jc w:val="both"/>
            </w:pPr>
            <w:r w:rsidRPr="007C14FC">
              <w:t>For example, once the knowledge and capability to build bricks is established, industry may be able to move into producing cement, or something similar. When a country establishes an industry producing paint, it may be also able to move into producing cleaning fluids, or some processed foodstuffs, or even some kinds of packaging. Once a country learns how to make microwaves, they might also be able to build fridges, or vehicles, or computer chips. Essentially, the more complex an industry developed, the greater number and more complex industries that knowledge can complement. Knowledge can diffuse from one industry to another over time.</w:t>
            </w:r>
          </w:p>
          <w:p w14:paraId="04B3D42B" w14:textId="77777777" w:rsidR="007C14FC" w:rsidRPr="007C14FC" w:rsidRDefault="007C14FC" w:rsidP="000D26F3">
            <w:pPr>
              <w:spacing w:after="120"/>
              <w:jc w:val="both"/>
            </w:pPr>
          </w:p>
          <w:p w14:paraId="01DF2581" w14:textId="77777777" w:rsidR="007C14FC" w:rsidRPr="007C14FC" w:rsidRDefault="007C14FC" w:rsidP="000D26F3">
            <w:pPr>
              <w:spacing w:after="120"/>
              <w:jc w:val="both"/>
            </w:pPr>
            <w:r w:rsidRPr="007C14FC">
              <w:t>This makes sense. You can imagine a country that has a labour force well trained in a microwave factory being able to work in a fridge factory. It is, however, a greater leap for a labour force engaged in primary agriculture to retrain for a complex assembly line or electrical engineering task.</w:t>
            </w:r>
          </w:p>
          <w:p w14:paraId="68AE7BF6" w14:textId="77777777" w:rsidR="007C14FC" w:rsidRPr="007C14FC" w:rsidRDefault="007C14FC" w:rsidP="000D26F3">
            <w:pPr>
              <w:spacing w:after="120"/>
              <w:jc w:val="both"/>
            </w:pPr>
          </w:p>
          <w:p w14:paraId="08D66BC2" w14:textId="77777777" w:rsidR="007C14FC" w:rsidRPr="007C14FC" w:rsidRDefault="007C14FC" w:rsidP="000D26F3">
            <w:pPr>
              <w:spacing w:after="120"/>
              <w:jc w:val="both"/>
            </w:pPr>
            <w:r w:rsidRPr="007C14FC">
              <w:t>The index is created from trade data. It looks at what kind of export products might be similar. It judges this by looking at how many countries produce any two products. The more countries that produce both products, the more similar they must be. That means if you can learn to do one, you could learn to do the other. For those products where few countries export both, it means they are very different in terms of complexity, and so there is a greater learning gap between them. To illustrate the point, many countries export rice, but few export satellites. From this we can infer there is a big complexity difference between producing rice and producing satellites. In contrast many countries that produce rice may also produce chicken, there is a small complexity difference between these two products. In addition, countries that export satellites may also export smartphones, this indicates they have a similar complexity, and so if a country learns how to make smartphones, they may be capable of quickly developing the technology and knowledge to build satellites.</w:t>
            </w:r>
          </w:p>
          <w:p w14:paraId="24F09E5C" w14:textId="77777777" w:rsidR="007C14FC" w:rsidRPr="007C14FC" w:rsidRDefault="007C14FC" w:rsidP="000D26F3">
            <w:pPr>
              <w:spacing w:after="120"/>
              <w:jc w:val="both"/>
            </w:pPr>
          </w:p>
          <w:p w14:paraId="3DF801B2" w14:textId="77777777" w:rsidR="007C14FC" w:rsidRPr="007C14FC" w:rsidRDefault="007C14FC" w:rsidP="000D26F3">
            <w:pPr>
              <w:spacing w:after="120"/>
              <w:jc w:val="both"/>
            </w:pPr>
            <w:r w:rsidRPr="007C14FC">
              <w:lastRenderedPageBreak/>
              <w:t>The index is complemented by considering how much you know, in terms of the complexity of what you can produce, compared to how much you should know, in terms of how rich you are. If you know a lot relative to your wealth, the indicator will suggest you have the potential to grow quickly. If you do not know a lot relative to what would be expected of your wealth, the indicator will suggest you may struggle to grow.</w:t>
            </w:r>
          </w:p>
          <w:p w14:paraId="6E65CE12" w14:textId="77777777" w:rsidR="007C14FC" w:rsidRPr="007C14FC" w:rsidRDefault="007C14FC" w:rsidP="000D26F3">
            <w:pPr>
              <w:spacing w:after="120"/>
              <w:jc w:val="both"/>
            </w:pPr>
          </w:p>
          <w:p w14:paraId="529F8286" w14:textId="3A94AEF6" w:rsidR="007C14FC" w:rsidRPr="007C14FC" w:rsidRDefault="002226DE" w:rsidP="000D26F3">
            <w:pPr>
              <w:spacing w:after="120"/>
              <w:jc w:val="both"/>
            </w:pPr>
            <w:r w:rsidRPr="007C14FC">
              <w:t>So,</w:t>
            </w:r>
            <w:r w:rsidR="007C14FC" w:rsidRPr="007C14FC">
              <w:t xml:space="preserve"> what the index tells us is, the more complex things you are currently doing, the more complex things you will soon be able to do. This is why it is a good predictor of growth, and that is what the researchers have found empirically. They have found it is a strong predictor of growth up to 10 years ahead, and so have predicted out to 2027 using 2017 trade data.</w:t>
            </w:r>
          </w:p>
          <w:p w14:paraId="4C5F1D6E" w14:textId="77777777" w:rsidR="007C14FC" w:rsidRPr="007C14FC" w:rsidRDefault="007C14FC" w:rsidP="000D26F3">
            <w:pPr>
              <w:spacing w:after="120"/>
              <w:jc w:val="both"/>
            </w:pPr>
          </w:p>
          <w:p w14:paraId="77F8DB20" w14:textId="409A0151" w:rsidR="007C14FC" w:rsidRPr="007C14FC" w:rsidRDefault="007C14FC" w:rsidP="000D26F3">
            <w:pPr>
              <w:spacing w:after="120"/>
              <w:jc w:val="both"/>
            </w:pPr>
            <w:r w:rsidRPr="007C14FC">
              <w:t xml:space="preserve">Uganda is forecast to grow the fastest of all countries over the decade, with a growth projection of 7.61% (see </w:t>
            </w:r>
            <w:r w:rsidR="00AF3BB3" w:rsidRPr="00AF3BB3">
              <w:rPr>
                <w:i/>
                <w:iCs/>
              </w:rPr>
              <w:t>Figure 3</w:t>
            </w:r>
            <w:r w:rsidRPr="007C14FC">
              <w:t>). This is because Uganda has a fairly rich ‘adjacent possible’. In other words, Uganda has the potential to learn a lot of new, complex industries in the coming years, relative to its wealth level.</w:t>
            </w:r>
          </w:p>
          <w:p w14:paraId="20FB567C" w14:textId="77777777" w:rsidR="007C14FC" w:rsidRPr="007C14FC" w:rsidRDefault="007C14FC" w:rsidP="007C14FC"/>
          <w:p w14:paraId="2A905340" w14:textId="51CB09DA" w:rsidR="000F47DE" w:rsidRPr="00755328" w:rsidRDefault="000F47DE" w:rsidP="000F47DE">
            <w:pPr>
              <w:pStyle w:val="Caption"/>
              <w:rPr>
                <w:sz w:val="24"/>
                <w:szCs w:val="24"/>
              </w:rPr>
            </w:pPr>
            <w:bookmarkStart w:id="14" w:name="_Toc16493710"/>
            <w:r w:rsidRPr="00755328">
              <w:rPr>
                <w:sz w:val="24"/>
                <w:szCs w:val="24"/>
              </w:rPr>
              <w:t xml:space="preserve">Figure </w:t>
            </w:r>
            <w:r w:rsidRPr="00755328">
              <w:rPr>
                <w:sz w:val="24"/>
                <w:szCs w:val="24"/>
              </w:rPr>
              <w:fldChar w:fldCharType="begin"/>
            </w:r>
            <w:r w:rsidRPr="00755328">
              <w:rPr>
                <w:sz w:val="24"/>
                <w:szCs w:val="24"/>
              </w:rPr>
              <w:instrText xml:space="preserve"> SEQ Figure \* ARABIC </w:instrText>
            </w:r>
            <w:r w:rsidRPr="00755328">
              <w:rPr>
                <w:sz w:val="24"/>
                <w:szCs w:val="24"/>
              </w:rPr>
              <w:fldChar w:fldCharType="separate"/>
            </w:r>
            <w:r>
              <w:rPr>
                <w:noProof/>
                <w:sz w:val="24"/>
                <w:szCs w:val="24"/>
              </w:rPr>
              <w:t>3</w:t>
            </w:r>
            <w:r w:rsidRPr="00755328">
              <w:rPr>
                <w:sz w:val="24"/>
                <w:szCs w:val="24"/>
              </w:rPr>
              <w:fldChar w:fldCharType="end"/>
            </w:r>
            <w:r w:rsidRPr="00755328">
              <w:rPr>
                <w:sz w:val="24"/>
                <w:szCs w:val="24"/>
              </w:rPr>
              <w:t xml:space="preserve">: </w:t>
            </w:r>
            <w:r w:rsidR="00573F36">
              <w:rPr>
                <w:sz w:val="24"/>
                <w:szCs w:val="24"/>
              </w:rPr>
              <w:t>Growth projections by continent</w:t>
            </w:r>
            <w:bookmarkEnd w:id="14"/>
          </w:p>
          <w:p w14:paraId="4675AE15" w14:textId="48E082B7" w:rsidR="00885A51" w:rsidRDefault="00885A51" w:rsidP="00885A51">
            <w:pPr>
              <w:jc w:val="center"/>
            </w:pPr>
            <w:r>
              <w:rPr>
                <w:rFonts w:ascii="Arial" w:hAnsi="Arial" w:cs="Arial"/>
                <w:color w:val="000000"/>
                <w:sz w:val="22"/>
                <w:szCs w:val="22"/>
                <w:bdr w:val="none" w:sz="0" w:space="0" w:color="auto" w:frame="1"/>
              </w:rPr>
              <w:fldChar w:fldCharType="begin"/>
            </w:r>
            <w:r>
              <w:rPr>
                <w:rFonts w:ascii="Arial" w:hAnsi="Arial" w:cs="Arial"/>
                <w:color w:val="000000"/>
                <w:sz w:val="22"/>
                <w:szCs w:val="22"/>
                <w:bdr w:val="none" w:sz="0" w:space="0" w:color="auto" w:frame="1"/>
              </w:rPr>
              <w:instrText xml:space="preserve"> INCLUDEPICTURE "https://lh6.googleusercontent.com/lHUtGMO00gzx1oqwsKwXa_CPZc5yNZP6GLtZwcP42Rix-mwAzLPQrrGldCfioMUn0C7p8UnAkhl_vIBGVyjlx33yCaVpVJZpH873XF5tzkc1cOfD7yAF9PD4GJe2AP6JraY8dFsH" \* MERGEFORMATINET </w:instrText>
            </w:r>
            <w:r>
              <w:rPr>
                <w:rFonts w:ascii="Arial" w:hAnsi="Arial" w:cs="Arial"/>
                <w:color w:val="000000"/>
                <w:sz w:val="22"/>
                <w:szCs w:val="22"/>
                <w:bdr w:val="none" w:sz="0" w:space="0" w:color="auto" w:frame="1"/>
              </w:rPr>
              <w:fldChar w:fldCharType="separate"/>
            </w:r>
            <w:r>
              <w:rPr>
                <w:rFonts w:ascii="Arial" w:hAnsi="Arial" w:cs="Arial"/>
                <w:noProof/>
                <w:color w:val="000000"/>
                <w:sz w:val="22"/>
                <w:szCs w:val="22"/>
                <w:bdr w:val="none" w:sz="0" w:space="0" w:color="auto" w:frame="1"/>
                <w:lang w:val="en-US" w:eastAsia="en-US"/>
              </w:rPr>
              <w:drawing>
                <wp:inline distT="0" distB="0" distL="0" distR="0" wp14:anchorId="0E96B3A0" wp14:editId="017F10C0">
                  <wp:extent cx="5577405" cy="40767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88411" cy="4084745"/>
                          </a:xfrm>
                          <a:prstGeom prst="rect">
                            <a:avLst/>
                          </a:prstGeom>
                          <a:noFill/>
                          <a:ln>
                            <a:noFill/>
                          </a:ln>
                        </pic:spPr>
                      </pic:pic>
                    </a:graphicData>
                  </a:graphic>
                </wp:inline>
              </w:drawing>
            </w:r>
            <w:r>
              <w:rPr>
                <w:rFonts w:ascii="Arial" w:hAnsi="Arial" w:cs="Arial"/>
                <w:color w:val="000000"/>
                <w:sz w:val="22"/>
                <w:szCs w:val="22"/>
                <w:bdr w:val="none" w:sz="0" w:space="0" w:color="auto" w:frame="1"/>
              </w:rPr>
              <w:fldChar w:fldCharType="end"/>
            </w:r>
          </w:p>
          <w:p w14:paraId="25CBE125" w14:textId="12E0255A" w:rsidR="00BA2F34" w:rsidRPr="006A1F29" w:rsidRDefault="00BA2F34" w:rsidP="00BA2F34">
            <w:pPr>
              <w:jc w:val="both"/>
              <w:rPr>
                <w:color w:val="44546A" w:themeColor="text2"/>
              </w:rPr>
            </w:pPr>
            <w:r w:rsidRPr="00755328">
              <w:rPr>
                <w:i/>
                <w:iCs/>
                <w:color w:val="44546A" w:themeColor="text2"/>
                <w:lang w:val="en-US"/>
              </w:rPr>
              <w:t xml:space="preserve">Source: </w:t>
            </w:r>
            <w:r w:rsidRPr="006A1F29">
              <w:rPr>
                <w:i/>
                <w:iCs/>
                <w:color w:val="44546A" w:themeColor="text2"/>
                <w:lang w:val="en-US"/>
              </w:rPr>
              <w:t>Atlas of Economic Complexity</w:t>
            </w:r>
          </w:p>
          <w:p w14:paraId="2B4477E0" w14:textId="19890BCE" w:rsidR="0062386D" w:rsidRDefault="0062386D" w:rsidP="003655C7"/>
          <w:p w14:paraId="2AD089E5" w14:textId="36469801" w:rsidR="00DD0822" w:rsidRPr="00DD0822" w:rsidRDefault="00DD0822" w:rsidP="000D26F3">
            <w:pPr>
              <w:spacing w:after="120"/>
            </w:pPr>
            <w:r w:rsidRPr="00DD0822">
              <w:lastRenderedPageBreak/>
              <w:t xml:space="preserve">We can also see in </w:t>
            </w:r>
            <w:r w:rsidR="00AF3BB3" w:rsidRPr="00AF3BB3">
              <w:rPr>
                <w:i/>
                <w:iCs/>
              </w:rPr>
              <w:t>Figure 4</w:t>
            </w:r>
            <w:r w:rsidR="00AF3BB3">
              <w:t xml:space="preserve"> and </w:t>
            </w:r>
            <w:r w:rsidR="00AF3BB3" w:rsidRPr="00AF3BB3">
              <w:rPr>
                <w:i/>
                <w:iCs/>
              </w:rPr>
              <w:t>Table 2</w:t>
            </w:r>
            <w:r w:rsidRPr="00DD0822">
              <w:t xml:space="preserve"> how Uganda has improved its economic complexity over the past few years relative to its neighbours. </w:t>
            </w:r>
            <w:r w:rsidR="00E04043">
              <w:t xml:space="preserve">It has grown rapidly from -1.92 in 1995 (the first year for which the indicator is calculated). Uganda managed to overtake Tanzania in terms of economic complexity in 2001 and has remained more economically complex since 2005. </w:t>
            </w:r>
            <w:r w:rsidR="00094BAF">
              <w:t xml:space="preserve">In 2015 Uganda registered a better economic complexity index than Kenya, and the two remain close today, with Uganda scored at -0.55 and Kenya at -0.49. </w:t>
            </w:r>
            <w:r w:rsidRPr="00DD0822">
              <w:t>This indicates it has the potential to grow faster in the coming years.</w:t>
            </w:r>
          </w:p>
          <w:p w14:paraId="39969CA0" w14:textId="6ED906E7" w:rsidR="00BA2F34" w:rsidRDefault="00BA2F34" w:rsidP="003655C7"/>
          <w:p w14:paraId="16EACF92" w14:textId="6C775075" w:rsidR="00965EA3" w:rsidRPr="00965EA3" w:rsidRDefault="00965EA3" w:rsidP="00965EA3">
            <w:pPr>
              <w:pStyle w:val="Caption"/>
              <w:rPr>
                <w:sz w:val="24"/>
                <w:szCs w:val="24"/>
              </w:rPr>
            </w:pPr>
            <w:bookmarkStart w:id="15" w:name="_Toc16493711"/>
            <w:r w:rsidRPr="00755328">
              <w:rPr>
                <w:sz w:val="24"/>
                <w:szCs w:val="24"/>
              </w:rPr>
              <w:t xml:space="preserve">Figure </w:t>
            </w:r>
            <w:r w:rsidRPr="00755328">
              <w:rPr>
                <w:sz w:val="24"/>
                <w:szCs w:val="24"/>
              </w:rPr>
              <w:fldChar w:fldCharType="begin"/>
            </w:r>
            <w:r w:rsidRPr="00755328">
              <w:rPr>
                <w:sz w:val="24"/>
                <w:szCs w:val="24"/>
              </w:rPr>
              <w:instrText xml:space="preserve"> SEQ Figure \* ARABIC </w:instrText>
            </w:r>
            <w:r w:rsidRPr="00755328">
              <w:rPr>
                <w:sz w:val="24"/>
                <w:szCs w:val="24"/>
              </w:rPr>
              <w:fldChar w:fldCharType="separate"/>
            </w:r>
            <w:r w:rsidR="00D7366F">
              <w:rPr>
                <w:noProof/>
                <w:sz w:val="24"/>
                <w:szCs w:val="24"/>
              </w:rPr>
              <w:t>4</w:t>
            </w:r>
            <w:r w:rsidRPr="00755328">
              <w:rPr>
                <w:sz w:val="24"/>
                <w:szCs w:val="24"/>
              </w:rPr>
              <w:fldChar w:fldCharType="end"/>
            </w:r>
            <w:r w:rsidRPr="00755328">
              <w:rPr>
                <w:sz w:val="24"/>
                <w:szCs w:val="24"/>
              </w:rPr>
              <w:t xml:space="preserve">: </w:t>
            </w:r>
            <w:r>
              <w:rPr>
                <w:sz w:val="24"/>
                <w:szCs w:val="24"/>
              </w:rPr>
              <w:t xml:space="preserve">Economic </w:t>
            </w:r>
            <w:r w:rsidR="00DE3F91">
              <w:rPr>
                <w:sz w:val="24"/>
                <w:szCs w:val="24"/>
              </w:rPr>
              <w:t>C</w:t>
            </w:r>
            <w:r>
              <w:rPr>
                <w:sz w:val="24"/>
                <w:szCs w:val="24"/>
              </w:rPr>
              <w:t xml:space="preserve">omplexity </w:t>
            </w:r>
            <w:r w:rsidR="00DE3F91">
              <w:rPr>
                <w:sz w:val="24"/>
                <w:szCs w:val="24"/>
              </w:rPr>
              <w:t>I</w:t>
            </w:r>
            <w:r>
              <w:rPr>
                <w:sz w:val="24"/>
                <w:szCs w:val="24"/>
              </w:rPr>
              <w:t>ndex over time, selected countries</w:t>
            </w:r>
            <w:bookmarkEnd w:id="15"/>
          </w:p>
          <w:p w14:paraId="292BEA0A" w14:textId="33CA4937" w:rsidR="00DD0822" w:rsidRDefault="001C39E7" w:rsidP="003655C7">
            <w:r>
              <w:rPr>
                <w:noProof/>
                <w:lang w:val="en-US" w:eastAsia="en-US"/>
              </w:rPr>
              <w:drawing>
                <wp:inline distT="0" distB="0" distL="0" distR="0" wp14:anchorId="72679AF2" wp14:editId="5BB85D05">
                  <wp:extent cx="5580000" cy="3600000"/>
                  <wp:effectExtent l="0" t="0" r="8255" b="6985"/>
                  <wp:docPr id="4" name="Chart 4">
                    <a:extLst xmlns:a="http://schemas.openxmlformats.org/drawingml/2006/main">
                      <a:ext uri="{FF2B5EF4-FFF2-40B4-BE49-F238E27FC236}">
                        <a16:creationId xmlns:a16="http://schemas.microsoft.com/office/drawing/2014/main" id="{6457458E-B616-034D-80F3-FC1DEDB9F9F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25C454B4" w14:textId="77777777" w:rsidR="00647700" w:rsidRPr="006A1F29" w:rsidRDefault="00647700" w:rsidP="00647700">
            <w:pPr>
              <w:jc w:val="both"/>
              <w:rPr>
                <w:color w:val="44546A" w:themeColor="text2"/>
              </w:rPr>
            </w:pPr>
            <w:r w:rsidRPr="00755328">
              <w:rPr>
                <w:i/>
                <w:iCs/>
                <w:color w:val="44546A" w:themeColor="text2"/>
                <w:lang w:val="en-US"/>
              </w:rPr>
              <w:t xml:space="preserve">Source: </w:t>
            </w:r>
            <w:r w:rsidRPr="006A1F29">
              <w:rPr>
                <w:i/>
                <w:iCs/>
                <w:color w:val="44546A" w:themeColor="text2"/>
                <w:lang w:val="en-US"/>
              </w:rPr>
              <w:t>Atlas of Economic Complexity</w:t>
            </w:r>
          </w:p>
          <w:p w14:paraId="68181956" w14:textId="77777777" w:rsidR="000F47DE" w:rsidRDefault="000F47DE" w:rsidP="003655C7"/>
          <w:p w14:paraId="75C933E8" w14:textId="6A2C263D" w:rsidR="00647700" w:rsidRPr="00165A3F" w:rsidRDefault="00165A3F" w:rsidP="00165A3F">
            <w:pPr>
              <w:pStyle w:val="Caption"/>
              <w:rPr>
                <w:noProof/>
                <w:sz w:val="24"/>
                <w:szCs w:val="24"/>
              </w:rPr>
            </w:pPr>
            <w:bookmarkStart w:id="16" w:name="_Toc16493716"/>
            <w:r w:rsidRPr="00824F86">
              <w:rPr>
                <w:sz w:val="24"/>
                <w:szCs w:val="24"/>
              </w:rPr>
              <w:t xml:space="preserve">Table </w:t>
            </w:r>
            <w:r w:rsidRPr="00824F86">
              <w:rPr>
                <w:sz w:val="24"/>
                <w:szCs w:val="24"/>
              </w:rPr>
              <w:fldChar w:fldCharType="begin"/>
            </w:r>
            <w:r w:rsidRPr="00824F86">
              <w:rPr>
                <w:sz w:val="24"/>
                <w:szCs w:val="24"/>
              </w:rPr>
              <w:instrText xml:space="preserve"> SEQ Table \* ARABIC </w:instrText>
            </w:r>
            <w:r w:rsidRPr="00824F86">
              <w:rPr>
                <w:sz w:val="24"/>
                <w:szCs w:val="24"/>
              </w:rPr>
              <w:fldChar w:fldCharType="separate"/>
            </w:r>
            <w:r w:rsidR="008A08FF">
              <w:rPr>
                <w:noProof/>
                <w:sz w:val="24"/>
                <w:szCs w:val="24"/>
              </w:rPr>
              <w:t>1</w:t>
            </w:r>
            <w:r w:rsidRPr="00824F86">
              <w:rPr>
                <w:sz w:val="24"/>
                <w:szCs w:val="24"/>
              </w:rPr>
              <w:fldChar w:fldCharType="end"/>
            </w:r>
            <w:r w:rsidRPr="00824F86">
              <w:rPr>
                <w:sz w:val="24"/>
                <w:szCs w:val="24"/>
              </w:rPr>
              <w:t xml:space="preserve">: </w:t>
            </w:r>
            <w:r w:rsidR="00DE3F91">
              <w:rPr>
                <w:sz w:val="24"/>
                <w:szCs w:val="24"/>
              </w:rPr>
              <w:t>Economic Complexity Index, past 10 years</w:t>
            </w:r>
            <w:bookmarkEnd w:id="16"/>
          </w:p>
          <w:tbl>
            <w:tblPr>
              <w:tblStyle w:val="GridTable4-Accent2"/>
              <w:tblW w:w="0" w:type="auto"/>
              <w:tblLook w:val="04A0" w:firstRow="1" w:lastRow="0" w:firstColumn="1" w:lastColumn="0" w:noHBand="0" w:noVBand="1"/>
            </w:tblPr>
            <w:tblGrid>
              <w:gridCol w:w="1029"/>
              <w:gridCol w:w="674"/>
              <w:gridCol w:w="674"/>
              <w:gridCol w:w="674"/>
              <w:gridCol w:w="674"/>
              <w:gridCol w:w="674"/>
              <w:gridCol w:w="674"/>
              <w:gridCol w:w="674"/>
              <w:gridCol w:w="674"/>
              <w:gridCol w:w="674"/>
              <w:gridCol w:w="674"/>
            </w:tblGrid>
            <w:tr w:rsidR="000069A4" w14:paraId="12EE55D3" w14:textId="77777777" w:rsidTr="000069A4">
              <w:trPr>
                <w:cnfStyle w:val="100000000000" w:firstRow="1" w:lastRow="0" w:firstColumn="0" w:lastColumn="0" w:oddVBand="0" w:evenVBand="0" w:oddHBand="0" w:evenHBand="0" w:firstRowFirstColumn="0" w:firstRowLastColumn="0" w:lastRowFirstColumn="0" w:lastRowLastColumn="0"/>
                <w:trHeight w:val="317"/>
              </w:trPr>
              <w:tc>
                <w:tcPr>
                  <w:cnfStyle w:val="001000000000" w:firstRow="0" w:lastRow="0" w:firstColumn="1" w:lastColumn="0" w:oddVBand="0" w:evenVBand="0" w:oddHBand="0" w:evenHBand="0" w:firstRowFirstColumn="0" w:firstRowLastColumn="0" w:lastRowFirstColumn="0" w:lastRowLastColumn="0"/>
                  <w:tcW w:w="0" w:type="auto"/>
                  <w:noWrap/>
                  <w:hideMark/>
                </w:tcPr>
                <w:p w14:paraId="7E6A0888" w14:textId="0FD9C3A1" w:rsidR="000069A4" w:rsidRPr="000069A4" w:rsidRDefault="000069A4" w:rsidP="000069A4">
                  <w:pPr>
                    <w:rPr>
                      <w:rFonts w:ascii="Calibri" w:hAnsi="Calibri"/>
                      <w:color w:val="000000"/>
                      <w:sz w:val="22"/>
                      <w:szCs w:val="22"/>
                    </w:rPr>
                  </w:pPr>
                </w:p>
              </w:tc>
              <w:tc>
                <w:tcPr>
                  <w:tcW w:w="0" w:type="auto"/>
                  <w:noWrap/>
                  <w:hideMark/>
                </w:tcPr>
                <w:p w14:paraId="44D64F3A" w14:textId="77777777" w:rsidR="000069A4" w:rsidRPr="000069A4" w:rsidRDefault="000069A4" w:rsidP="000069A4">
                  <w:pPr>
                    <w:jc w:val="right"/>
                    <w:cnfStyle w:val="100000000000" w:firstRow="1" w:lastRow="0" w:firstColumn="0" w:lastColumn="0" w:oddVBand="0" w:evenVBand="0" w:oddHBand="0" w:evenHBand="0" w:firstRowFirstColumn="0" w:firstRowLastColumn="0" w:lastRowFirstColumn="0" w:lastRowLastColumn="0"/>
                    <w:rPr>
                      <w:rFonts w:ascii="Calibri" w:hAnsi="Calibri"/>
                      <w:b w:val="0"/>
                      <w:bCs w:val="0"/>
                      <w:color w:val="000000"/>
                      <w:sz w:val="22"/>
                      <w:szCs w:val="22"/>
                    </w:rPr>
                  </w:pPr>
                  <w:r w:rsidRPr="000069A4">
                    <w:rPr>
                      <w:rFonts w:ascii="Calibri" w:hAnsi="Calibri"/>
                      <w:color w:val="000000"/>
                      <w:sz w:val="22"/>
                      <w:szCs w:val="22"/>
                    </w:rPr>
                    <w:t>2008</w:t>
                  </w:r>
                </w:p>
              </w:tc>
              <w:tc>
                <w:tcPr>
                  <w:tcW w:w="0" w:type="auto"/>
                  <w:noWrap/>
                  <w:hideMark/>
                </w:tcPr>
                <w:p w14:paraId="6CAA4DCB" w14:textId="77777777" w:rsidR="000069A4" w:rsidRPr="000069A4" w:rsidRDefault="000069A4" w:rsidP="000069A4">
                  <w:pPr>
                    <w:jc w:val="right"/>
                    <w:cnfStyle w:val="100000000000" w:firstRow="1" w:lastRow="0" w:firstColumn="0" w:lastColumn="0" w:oddVBand="0" w:evenVBand="0" w:oddHBand="0" w:evenHBand="0" w:firstRowFirstColumn="0" w:firstRowLastColumn="0" w:lastRowFirstColumn="0" w:lastRowLastColumn="0"/>
                    <w:rPr>
                      <w:rFonts w:ascii="Calibri" w:hAnsi="Calibri"/>
                      <w:color w:val="000000"/>
                      <w:sz w:val="22"/>
                      <w:szCs w:val="22"/>
                    </w:rPr>
                  </w:pPr>
                  <w:r w:rsidRPr="000069A4">
                    <w:rPr>
                      <w:rFonts w:ascii="Calibri" w:hAnsi="Calibri"/>
                      <w:color w:val="000000"/>
                      <w:sz w:val="22"/>
                      <w:szCs w:val="22"/>
                    </w:rPr>
                    <w:t>2009</w:t>
                  </w:r>
                </w:p>
              </w:tc>
              <w:tc>
                <w:tcPr>
                  <w:tcW w:w="0" w:type="auto"/>
                  <w:noWrap/>
                  <w:hideMark/>
                </w:tcPr>
                <w:p w14:paraId="5C7749E6" w14:textId="77777777" w:rsidR="000069A4" w:rsidRPr="000069A4" w:rsidRDefault="000069A4" w:rsidP="000069A4">
                  <w:pPr>
                    <w:jc w:val="right"/>
                    <w:cnfStyle w:val="100000000000" w:firstRow="1" w:lastRow="0" w:firstColumn="0" w:lastColumn="0" w:oddVBand="0" w:evenVBand="0" w:oddHBand="0" w:evenHBand="0" w:firstRowFirstColumn="0" w:firstRowLastColumn="0" w:lastRowFirstColumn="0" w:lastRowLastColumn="0"/>
                    <w:rPr>
                      <w:rFonts w:ascii="Calibri" w:hAnsi="Calibri"/>
                      <w:color w:val="000000"/>
                      <w:sz w:val="22"/>
                      <w:szCs w:val="22"/>
                    </w:rPr>
                  </w:pPr>
                  <w:r w:rsidRPr="000069A4">
                    <w:rPr>
                      <w:rFonts w:ascii="Calibri" w:hAnsi="Calibri"/>
                      <w:color w:val="000000"/>
                      <w:sz w:val="22"/>
                      <w:szCs w:val="22"/>
                    </w:rPr>
                    <w:t>2010</w:t>
                  </w:r>
                </w:p>
              </w:tc>
              <w:tc>
                <w:tcPr>
                  <w:tcW w:w="0" w:type="auto"/>
                  <w:noWrap/>
                  <w:hideMark/>
                </w:tcPr>
                <w:p w14:paraId="675ADEC9" w14:textId="77777777" w:rsidR="000069A4" w:rsidRPr="000069A4" w:rsidRDefault="000069A4" w:rsidP="000069A4">
                  <w:pPr>
                    <w:jc w:val="right"/>
                    <w:cnfStyle w:val="100000000000" w:firstRow="1" w:lastRow="0" w:firstColumn="0" w:lastColumn="0" w:oddVBand="0" w:evenVBand="0" w:oddHBand="0" w:evenHBand="0" w:firstRowFirstColumn="0" w:firstRowLastColumn="0" w:lastRowFirstColumn="0" w:lastRowLastColumn="0"/>
                    <w:rPr>
                      <w:rFonts w:ascii="Calibri" w:hAnsi="Calibri"/>
                      <w:color w:val="000000"/>
                      <w:sz w:val="22"/>
                      <w:szCs w:val="22"/>
                    </w:rPr>
                  </w:pPr>
                  <w:r w:rsidRPr="000069A4">
                    <w:rPr>
                      <w:rFonts w:ascii="Calibri" w:hAnsi="Calibri"/>
                      <w:color w:val="000000"/>
                      <w:sz w:val="22"/>
                      <w:szCs w:val="22"/>
                    </w:rPr>
                    <w:t>2011</w:t>
                  </w:r>
                </w:p>
              </w:tc>
              <w:tc>
                <w:tcPr>
                  <w:tcW w:w="0" w:type="auto"/>
                  <w:noWrap/>
                  <w:hideMark/>
                </w:tcPr>
                <w:p w14:paraId="2421A3E1" w14:textId="77777777" w:rsidR="000069A4" w:rsidRPr="000069A4" w:rsidRDefault="000069A4" w:rsidP="000069A4">
                  <w:pPr>
                    <w:jc w:val="right"/>
                    <w:cnfStyle w:val="100000000000" w:firstRow="1" w:lastRow="0" w:firstColumn="0" w:lastColumn="0" w:oddVBand="0" w:evenVBand="0" w:oddHBand="0" w:evenHBand="0" w:firstRowFirstColumn="0" w:firstRowLastColumn="0" w:lastRowFirstColumn="0" w:lastRowLastColumn="0"/>
                    <w:rPr>
                      <w:rFonts w:ascii="Calibri" w:hAnsi="Calibri"/>
                      <w:color w:val="000000"/>
                      <w:sz w:val="22"/>
                      <w:szCs w:val="22"/>
                    </w:rPr>
                  </w:pPr>
                  <w:r w:rsidRPr="000069A4">
                    <w:rPr>
                      <w:rFonts w:ascii="Calibri" w:hAnsi="Calibri"/>
                      <w:color w:val="000000"/>
                      <w:sz w:val="22"/>
                      <w:szCs w:val="22"/>
                    </w:rPr>
                    <w:t>2012</w:t>
                  </w:r>
                </w:p>
              </w:tc>
              <w:tc>
                <w:tcPr>
                  <w:tcW w:w="0" w:type="auto"/>
                  <w:noWrap/>
                  <w:hideMark/>
                </w:tcPr>
                <w:p w14:paraId="3998C6EE" w14:textId="77777777" w:rsidR="000069A4" w:rsidRPr="000069A4" w:rsidRDefault="000069A4" w:rsidP="000069A4">
                  <w:pPr>
                    <w:jc w:val="right"/>
                    <w:cnfStyle w:val="100000000000" w:firstRow="1" w:lastRow="0" w:firstColumn="0" w:lastColumn="0" w:oddVBand="0" w:evenVBand="0" w:oddHBand="0" w:evenHBand="0" w:firstRowFirstColumn="0" w:firstRowLastColumn="0" w:lastRowFirstColumn="0" w:lastRowLastColumn="0"/>
                    <w:rPr>
                      <w:rFonts w:ascii="Calibri" w:hAnsi="Calibri"/>
                      <w:color w:val="000000"/>
                      <w:sz w:val="22"/>
                      <w:szCs w:val="22"/>
                    </w:rPr>
                  </w:pPr>
                  <w:r w:rsidRPr="000069A4">
                    <w:rPr>
                      <w:rFonts w:ascii="Calibri" w:hAnsi="Calibri"/>
                      <w:color w:val="000000"/>
                      <w:sz w:val="22"/>
                      <w:szCs w:val="22"/>
                    </w:rPr>
                    <w:t>2013</w:t>
                  </w:r>
                </w:p>
              </w:tc>
              <w:tc>
                <w:tcPr>
                  <w:tcW w:w="0" w:type="auto"/>
                  <w:noWrap/>
                  <w:hideMark/>
                </w:tcPr>
                <w:p w14:paraId="35146A49" w14:textId="77777777" w:rsidR="000069A4" w:rsidRPr="000069A4" w:rsidRDefault="000069A4" w:rsidP="000069A4">
                  <w:pPr>
                    <w:jc w:val="right"/>
                    <w:cnfStyle w:val="100000000000" w:firstRow="1" w:lastRow="0" w:firstColumn="0" w:lastColumn="0" w:oddVBand="0" w:evenVBand="0" w:oddHBand="0" w:evenHBand="0" w:firstRowFirstColumn="0" w:firstRowLastColumn="0" w:lastRowFirstColumn="0" w:lastRowLastColumn="0"/>
                    <w:rPr>
                      <w:rFonts w:ascii="Calibri" w:hAnsi="Calibri"/>
                      <w:color w:val="000000"/>
                      <w:sz w:val="22"/>
                      <w:szCs w:val="22"/>
                    </w:rPr>
                  </w:pPr>
                  <w:r w:rsidRPr="000069A4">
                    <w:rPr>
                      <w:rFonts w:ascii="Calibri" w:hAnsi="Calibri"/>
                      <w:color w:val="000000"/>
                      <w:sz w:val="22"/>
                      <w:szCs w:val="22"/>
                    </w:rPr>
                    <w:t>2014</w:t>
                  </w:r>
                </w:p>
              </w:tc>
              <w:tc>
                <w:tcPr>
                  <w:tcW w:w="0" w:type="auto"/>
                  <w:noWrap/>
                  <w:hideMark/>
                </w:tcPr>
                <w:p w14:paraId="6B3E337B" w14:textId="77777777" w:rsidR="000069A4" w:rsidRPr="000069A4" w:rsidRDefault="000069A4" w:rsidP="000069A4">
                  <w:pPr>
                    <w:jc w:val="right"/>
                    <w:cnfStyle w:val="100000000000" w:firstRow="1" w:lastRow="0" w:firstColumn="0" w:lastColumn="0" w:oddVBand="0" w:evenVBand="0" w:oddHBand="0" w:evenHBand="0" w:firstRowFirstColumn="0" w:firstRowLastColumn="0" w:lastRowFirstColumn="0" w:lastRowLastColumn="0"/>
                    <w:rPr>
                      <w:rFonts w:ascii="Calibri" w:hAnsi="Calibri"/>
                      <w:color w:val="000000"/>
                      <w:sz w:val="22"/>
                      <w:szCs w:val="22"/>
                    </w:rPr>
                  </w:pPr>
                  <w:r w:rsidRPr="000069A4">
                    <w:rPr>
                      <w:rFonts w:ascii="Calibri" w:hAnsi="Calibri"/>
                      <w:color w:val="000000"/>
                      <w:sz w:val="22"/>
                      <w:szCs w:val="22"/>
                    </w:rPr>
                    <w:t>2015</w:t>
                  </w:r>
                </w:p>
              </w:tc>
              <w:tc>
                <w:tcPr>
                  <w:tcW w:w="0" w:type="auto"/>
                  <w:noWrap/>
                  <w:hideMark/>
                </w:tcPr>
                <w:p w14:paraId="4C49E208" w14:textId="77777777" w:rsidR="000069A4" w:rsidRPr="000069A4" w:rsidRDefault="000069A4" w:rsidP="000069A4">
                  <w:pPr>
                    <w:jc w:val="right"/>
                    <w:cnfStyle w:val="100000000000" w:firstRow="1" w:lastRow="0" w:firstColumn="0" w:lastColumn="0" w:oddVBand="0" w:evenVBand="0" w:oddHBand="0" w:evenHBand="0" w:firstRowFirstColumn="0" w:firstRowLastColumn="0" w:lastRowFirstColumn="0" w:lastRowLastColumn="0"/>
                    <w:rPr>
                      <w:rFonts w:ascii="Calibri" w:hAnsi="Calibri"/>
                      <w:color w:val="000000"/>
                      <w:sz w:val="22"/>
                      <w:szCs w:val="22"/>
                    </w:rPr>
                  </w:pPr>
                  <w:r w:rsidRPr="000069A4">
                    <w:rPr>
                      <w:rFonts w:ascii="Calibri" w:hAnsi="Calibri"/>
                      <w:color w:val="000000"/>
                      <w:sz w:val="22"/>
                      <w:szCs w:val="22"/>
                    </w:rPr>
                    <w:t>2016</w:t>
                  </w:r>
                </w:p>
              </w:tc>
              <w:tc>
                <w:tcPr>
                  <w:tcW w:w="0" w:type="auto"/>
                  <w:noWrap/>
                  <w:hideMark/>
                </w:tcPr>
                <w:p w14:paraId="4971198F" w14:textId="77777777" w:rsidR="000069A4" w:rsidRPr="000069A4" w:rsidRDefault="000069A4" w:rsidP="000069A4">
                  <w:pPr>
                    <w:jc w:val="right"/>
                    <w:cnfStyle w:val="100000000000" w:firstRow="1" w:lastRow="0" w:firstColumn="0" w:lastColumn="0" w:oddVBand="0" w:evenVBand="0" w:oddHBand="0" w:evenHBand="0" w:firstRowFirstColumn="0" w:firstRowLastColumn="0" w:lastRowFirstColumn="0" w:lastRowLastColumn="0"/>
                    <w:rPr>
                      <w:rFonts w:ascii="Calibri" w:hAnsi="Calibri"/>
                      <w:color w:val="000000"/>
                      <w:sz w:val="22"/>
                      <w:szCs w:val="22"/>
                    </w:rPr>
                  </w:pPr>
                  <w:r w:rsidRPr="000069A4">
                    <w:rPr>
                      <w:rFonts w:ascii="Calibri" w:hAnsi="Calibri"/>
                      <w:color w:val="000000"/>
                      <w:sz w:val="22"/>
                      <w:szCs w:val="22"/>
                    </w:rPr>
                    <w:t>2017</w:t>
                  </w:r>
                </w:p>
              </w:tc>
            </w:tr>
            <w:tr w:rsidR="000069A4" w14:paraId="34AD1294" w14:textId="77777777" w:rsidTr="000069A4">
              <w:trPr>
                <w:cnfStyle w:val="000000100000" w:firstRow="0" w:lastRow="0" w:firstColumn="0" w:lastColumn="0" w:oddVBand="0" w:evenVBand="0" w:oddHBand="1" w:evenHBand="0" w:firstRowFirstColumn="0" w:firstRowLastColumn="0" w:lastRowFirstColumn="0" w:lastRowLastColumn="0"/>
                <w:trHeight w:val="317"/>
              </w:trPr>
              <w:tc>
                <w:tcPr>
                  <w:cnfStyle w:val="001000000000" w:firstRow="0" w:lastRow="0" w:firstColumn="1" w:lastColumn="0" w:oddVBand="0" w:evenVBand="0" w:oddHBand="0" w:evenHBand="0" w:firstRowFirstColumn="0" w:firstRowLastColumn="0" w:lastRowFirstColumn="0" w:lastRowLastColumn="0"/>
                  <w:tcW w:w="0" w:type="auto"/>
                  <w:noWrap/>
                  <w:hideMark/>
                </w:tcPr>
                <w:p w14:paraId="5C5F2F15" w14:textId="77777777" w:rsidR="000069A4" w:rsidRPr="000069A4" w:rsidRDefault="000069A4" w:rsidP="000069A4">
                  <w:pPr>
                    <w:rPr>
                      <w:rFonts w:ascii="Calibri" w:hAnsi="Calibri"/>
                      <w:color w:val="000000"/>
                      <w:sz w:val="22"/>
                      <w:szCs w:val="22"/>
                    </w:rPr>
                  </w:pPr>
                  <w:r w:rsidRPr="000069A4">
                    <w:rPr>
                      <w:rFonts w:ascii="Calibri" w:hAnsi="Calibri"/>
                      <w:color w:val="000000"/>
                      <w:sz w:val="22"/>
                      <w:szCs w:val="22"/>
                    </w:rPr>
                    <w:t>Uganda</w:t>
                  </w:r>
                </w:p>
              </w:tc>
              <w:tc>
                <w:tcPr>
                  <w:tcW w:w="0" w:type="auto"/>
                  <w:noWrap/>
                  <w:hideMark/>
                </w:tcPr>
                <w:p w14:paraId="4A9E11A5" w14:textId="77777777" w:rsidR="000069A4" w:rsidRPr="000069A4" w:rsidRDefault="000069A4" w:rsidP="000069A4">
                  <w:pPr>
                    <w:jc w:val="right"/>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rPr>
                  </w:pPr>
                  <w:r w:rsidRPr="000069A4">
                    <w:rPr>
                      <w:rFonts w:ascii="Calibri" w:hAnsi="Calibri"/>
                      <w:color w:val="000000"/>
                      <w:sz w:val="22"/>
                      <w:szCs w:val="22"/>
                    </w:rPr>
                    <w:t>-0.64</w:t>
                  </w:r>
                </w:p>
              </w:tc>
              <w:tc>
                <w:tcPr>
                  <w:tcW w:w="0" w:type="auto"/>
                  <w:noWrap/>
                  <w:hideMark/>
                </w:tcPr>
                <w:p w14:paraId="2D17B8B1" w14:textId="77777777" w:rsidR="000069A4" w:rsidRPr="000069A4" w:rsidRDefault="000069A4" w:rsidP="000069A4">
                  <w:pPr>
                    <w:jc w:val="right"/>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rPr>
                  </w:pPr>
                  <w:r w:rsidRPr="000069A4">
                    <w:rPr>
                      <w:rFonts w:ascii="Calibri" w:hAnsi="Calibri"/>
                      <w:color w:val="000000"/>
                      <w:sz w:val="22"/>
                      <w:szCs w:val="22"/>
                    </w:rPr>
                    <w:t>-0.64</w:t>
                  </w:r>
                </w:p>
              </w:tc>
              <w:tc>
                <w:tcPr>
                  <w:tcW w:w="0" w:type="auto"/>
                  <w:noWrap/>
                  <w:hideMark/>
                </w:tcPr>
                <w:p w14:paraId="0215184D" w14:textId="77777777" w:rsidR="000069A4" w:rsidRPr="000069A4" w:rsidRDefault="000069A4" w:rsidP="000069A4">
                  <w:pPr>
                    <w:jc w:val="right"/>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rPr>
                  </w:pPr>
                  <w:r w:rsidRPr="000069A4">
                    <w:rPr>
                      <w:rFonts w:ascii="Calibri" w:hAnsi="Calibri"/>
                      <w:color w:val="000000"/>
                      <w:sz w:val="22"/>
                      <w:szCs w:val="22"/>
                    </w:rPr>
                    <w:t>-0.56</w:t>
                  </w:r>
                </w:p>
              </w:tc>
              <w:tc>
                <w:tcPr>
                  <w:tcW w:w="0" w:type="auto"/>
                  <w:noWrap/>
                  <w:hideMark/>
                </w:tcPr>
                <w:p w14:paraId="7E51E5B6" w14:textId="77777777" w:rsidR="000069A4" w:rsidRPr="000069A4" w:rsidRDefault="000069A4" w:rsidP="000069A4">
                  <w:pPr>
                    <w:jc w:val="right"/>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rPr>
                  </w:pPr>
                  <w:r w:rsidRPr="000069A4">
                    <w:rPr>
                      <w:rFonts w:ascii="Calibri" w:hAnsi="Calibri"/>
                      <w:color w:val="000000"/>
                      <w:sz w:val="22"/>
                      <w:szCs w:val="22"/>
                    </w:rPr>
                    <w:t>-0.5</w:t>
                  </w:r>
                </w:p>
              </w:tc>
              <w:tc>
                <w:tcPr>
                  <w:tcW w:w="0" w:type="auto"/>
                  <w:noWrap/>
                  <w:hideMark/>
                </w:tcPr>
                <w:p w14:paraId="26E6699D" w14:textId="77777777" w:rsidR="000069A4" w:rsidRPr="000069A4" w:rsidRDefault="000069A4" w:rsidP="000069A4">
                  <w:pPr>
                    <w:jc w:val="right"/>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rPr>
                  </w:pPr>
                  <w:r w:rsidRPr="000069A4">
                    <w:rPr>
                      <w:rFonts w:ascii="Calibri" w:hAnsi="Calibri"/>
                      <w:color w:val="000000"/>
                      <w:sz w:val="22"/>
                      <w:szCs w:val="22"/>
                    </w:rPr>
                    <w:t>-0.45</w:t>
                  </w:r>
                </w:p>
              </w:tc>
              <w:tc>
                <w:tcPr>
                  <w:tcW w:w="0" w:type="auto"/>
                  <w:noWrap/>
                  <w:hideMark/>
                </w:tcPr>
                <w:p w14:paraId="706E6534" w14:textId="77777777" w:rsidR="000069A4" w:rsidRPr="000069A4" w:rsidRDefault="000069A4" w:rsidP="000069A4">
                  <w:pPr>
                    <w:jc w:val="right"/>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rPr>
                  </w:pPr>
                  <w:r w:rsidRPr="000069A4">
                    <w:rPr>
                      <w:rFonts w:ascii="Calibri" w:hAnsi="Calibri"/>
                      <w:color w:val="000000"/>
                      <w:sz w:val="22"/>
                      <w:szCs w:val="22"/>
                    </w:rPr>
                    <w:t>-0.44</w:t>
                  </w:r>
                </w:p>
              </w:tc>
              <w:tc>
                <w:tcPr>
                  <w:tcW w:w="0" w:type="auto"/>
                  <w:noWrap/>
                  <w:hideMark/>
                </w:tcPr>
                <w:p w14:paraId="562D6C6F" w14:textId="77777777" w:rsidR="000069A4" w:rsidRPr="000069A4" w:rsidRDefault="000069A4" w:rsidP="000069A4">
                  <w:pPr>
                    <w:jc w:val="right"/>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rPr>
                  </w:pPr>
                  <w:r w:rsidRPr="000069A4">
                    <w:rPr>
                      <w:rFonts w:ascii="Calibri" w:hAnsi="Calibri"/>
                      <w:color w:val="000000"/>
                      <w:sz w:val="22"/>
                      <w:szCs w:val="22"/>
                    </w:rPr>
                    <w:t>-0.44</w:t>
                  </w:r>
                </w:p>
              </w:tc>
              <w:tc>
                <w:tcPr>
                  <w:tcW w:w="0" w:type="auto"/>
                  <w:noWrap/>
                  <w:hideMark/>
                </w:tcPr>
                <w:p w14:paraId="27A5B192" w14:textId="77777777" w:rsidR="000069A4" w:rsidRPr="000069A4" w:rsidRDefault="000069A4" w:rsidP="000069A4">
                  <w:pPr>
                    <w:jc w:val="right"/>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rPr>
                  </w:pPr>
                  <w:r w:rsidRPr="000069A4">
                    <w:rPr>
                      <w:rFonts w:ascii="Calibri" w:hAnsi="Calibri"/>
                      <w:color w:val="000000"/>
                      <w:sz w:val="22"/>
                      <w:szCs w:val="22"/>
                    </w:rPr>
                    <w:t>-0.41</w:t>
                  </w:r>
                </w:p>
              </w:tc>
              <w:tc>
                <w:tcPr>
                  <w:tcW w:w="0" w:type="auto"/>
                  <w:noWrap/>
                  <w:hideMark/>
                </w:tcPr>
                <w:p w14:paraId="1A9A0050" w14:textId="77777777" w:rsidR="000069A4" w:rsidRPr="000069A4" w:rsidRDefault="000069A4" w:rsidP="000069A4">
                  <w:pPr>
                    <w:jc w:val="right"/>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rPr>
                  </w:pPr>
                  <w:r w:rsidRPr="000069A4">
                    <w:rPr>
                      <w:rFonts w:ascii="Calibri" w:hAnsi="Calibri"/>
                      <w:color w:val="000000"/>
                      <w:sz w:val="22"/>
                      <w:szCs w:val="22"/>
                    </w:rPr>
                    <w:t>-0.41</w:t>
                  </w:r>
                </w:p>
              </w:tc>
              <w:tc>
                <w:tcPr>
                  <w:tcW w:w="0" w:type="auto"/>
                  <w:noWrap/>
                  <w:hideMark/>
                </w:tcPr>
                <w:p w14:paraId="210AC179" w14:textId="77777777" w:rsidR="000069A4" w:rsidRPr="000069A4" w:rsidRDefault="000069A4" w:rsidP="000069A4">
                  <w:pPr>
                    <w:jc w:val="right"/>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rPr>
                  </w:pPr>
                  <w:r w:rsidRPr="000069A4">
                    <w:rPr>
                      <w:rFonts w:ascii="Calibri" w:hAnsi="Calibri"/>
                      <w:color w:val="000000"/>
                      <w:sz w:val="22"/>
                      <w:szCs w:val="22"/>
                    </w:rPr>
                    <w:t>-0.55</w:t>
                  </w:r>
                </w:p>
              </w:tc>
            </w:tr>
            <w:tr w:rsidR="000069A4" w14:paraId="21D045C0" w14:textId="77777777" w:rsidTr="000069A4">
              <w:trPr>
                <w:trHeight w:val="317"/>
              </w:trPr>
              <w:tc>
                <w:tcPr>
                  <w:cnfStyle w:val="001000000000" w:firstRow="0" w:lastRow="0" w:firstColumn="1" w:lastColumn="0" w:oddVBand="0" w:evenVBand="0" w:oddHBand="0" w:evenHBand="0" w:firstRowFirstColumn="0" w:firstRowLastColumn="0" w:lastRowFirstColumn="0" w:lastRowLastColumn="0"/>
                  <w:tcW w:w="0" w:type="auto"/>
                  <w:shd w:val="clear" w:color="auto" w:fill="FBE4D5" w:themeFill="accent2" w:themeFillTint="33"/>
                  <w:noWrap/>
                  <w:hideMark/>
                </w:tcPr>
                <w:p w14:paraId="6EAE8683" w14:textId="77777777" w:rsidR="000069A4" w:rsidRPr="000069A4" w:rsidRDefault="000069A4" w:rsidP="000069A4">
                  <w:pPr>
                    <w:rPr>
                      <w:rFonts w:ascii="Calibri" w:hAnsi="Calibri"/>
                      <w:color w:val="000000"/>
                      <w:sz w:val="22"/>
                      <w:szCs w:val="22"/>
                    </w:rPr>
                  </w:pPr>
                  <w:r w:rsidRPr="000069A4">
                    <w:rPr>
                      <w:rFonts w:ascii="Calibri" w:hAnsi="Calibri"/>
                      <w:color w:val="000000"/>
                      <w:sz w:val="22"/>
                      <w:szCs w:val="22"/>
                    </w:rPr>
                    <w:t>Kenya</w:t>
                  </w:r>
                </w:p>
              </w:tc>
              <w:tc>
                <w:tcPr>
                  <w:tcW w:w="0" w:type="auto"/>
                  <w:shd w:val="clear" w:color="auto" w:fill="FBE4D5" w:themeFill="accent2" w:themeFillTint="33"/>
                  <w:noWrap/>
                  <w:hideMark/>
                </w:tcPr>
                <w:p w14:paraId="386B4C1F" w14:textId="77777777" w:rsidR="000069A4" w:rsidRPr="000069A4" w:rsidRDefault="000069A4" w:rsidP="000069A4">
                  <w:pPr>
                    <w:jc w:val="right"/>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rPr>
                  </w:pPr>
                  <w:r w:rsidRPr="000069A4">
                    <w:rPr>
                      <w:rFonts w:ascii="Calibri" w:hAnsi="Calibri"/>
                      <w:color w:val="000000"/>
                      <w:sz w:val="22"/>
                      <w:szCs w:val="22"/>
                    </w:rPr>
                    <w:t>-0.36</w:t>
                  </w:r>
                </w:p>
              </w:tc>
              <w:tc>
                <w:tcPr>
                  <w:tcW w:w="0" w:type="auto"/>
                  <w:shd w:val="clear" w:color="auto" w:fill="FBE4D5" w:themeFill="accent2" w:themeFillTint="33"/>
                  <w:noWrap/>
                  <w:hideMark/>
                </w:tcPr>
                <w:p w14:paraId="075416E9" w14:textId="77777777" w:rsidR="000069A4" w:rsidRPr="000069A4" w:rsidRDefault="000069A4" w:rsidP="000069A4">
                  <w:pPr>
                    <w:jc w:val="right"/>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rPr>
                  </w:pPr>
                  <w:r w:rsidRPr="000069A4">
                    <w:rPr>
                      <w:rFonts w:ascii="Calibri" w:hAnsi="Calibri"/>
                      <w:color w:val="000000"/>
                      <w:sz w:val="22"/>
                      <w:szCs w:val="22"/>
                    </w:rPr>
                    <w:t>-0.34</w:t>
                  </w:r>
                </w:p>
              </w:tc>
              <w:tc>
                <w:tcPr>
                  <w:tcW w:w="0" w:type="auto"/>
                  <w:shd w:val="clear" w:color="auto" w:fill="FBE4D5" w:themeFill="accent2" w:themeFillTint="33"/>
                  <w:noWrap/>
                  <w:hideMark/>
                </w:tcPr>
                <w:p w14:paraId="3FFF8D5C" w14:textId="77777777" w:rsidR="000069A4" w:rsidRPr="000069A4" w:rsidRDefault="000069A4" w:rsidP="000069A4">
                  <w:pPr>
                    <w:jc w:val="right"/>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rPr>
                  </w:pPr>
                  <w:r w:rsidRPr="000069A4">
                    <w:rPr>
                      <w:rFonts w:ascii="Calibri" w:hAnsi="Calibri"/>
                      <w:color w:val="000000"/>
                      <w:sz w:val="22"/>
                      <w:szCs w:val="22"/>
                    </w:rPr>
                    <w:t>-0.33</w:t>
                  </w:r>
                </w:p>
              </w:tc>
              <w:tc>
                <w:tcPr>
                  <w:tcW w:w="0" w:type="auto"/>
                  <w:shd w:val="clear" w:color="auto" w:fill="FBE4D5" w:themeFill="accent2" w:themeFillTint="33"/>
                  <w:noWrap/>
                  <w:hideMark/>
                </w:tcPr>
                <w:p w14:paraId="49DEDC69" w14:textId="77777777" w:rsidR="000069A4" w:rsidRPr="000069A4" w:rsidRDefault="000069A4" w:rsidP="000069A4">
                  <w:pPr>
                    <w:jc w:val="right"/>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rPr>
                  </w:pPr>
                  <w:r w:rsidRPr="000069A4">
                    <w:rPr>
                      <w:rFonts w:ascii="Calibri" w:hAnsi="Calibri"/>
                      <w:color w:val="000000"/>
                      <w:sz w:val="22"/>
                      <w:szCs w:val="22"/>
                    </w:rPr>
                    <w:t>-0.27</w:t>
                  </w:r>
                </w:p>
              </w:tc>
              <w:tc>
                <w:tcPr>
                  <w:tcW w:w="0" w:type="auto"/>
                  <w:shd w:val="clear" w:color="auto" w:fill="FBE4D5" w:themeFill="accent2" w:themeFillTint="33"/>
                  <w:noWrap/>
                  <w:hideMark/>
                </w:tcPr>
                <w:p w14:paraId="05BA87C2" w14:textId="77777777" w:rsidR="000069A4" w:rsidRPr="000069A4" w:rsidRDefault="000069A4" w:rsidP="000069A4">
                  <w:pPr>
                    <w:jc w:val="right"/>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rPr>
                  </w:pPr>
                  <w:r w:rsidRPr="000069A4">
                    <w:rPr>
                      <w:rFonts w:ascii="Calibri" w:hAnsi="Calibri"/>
                      <w:color w:val="000000"/>
                      <w:sz w:val="22"/>
                      <w:szCs w:val="22"/>
                    </w:rPr>
                    <w:t>-0.31</w:t>
                  </w:r>
                </w:p>
              </w:tc>
              <w:tc>
                <w:tcPr>
                  <w:tcW w:w="0" w:type="auto"/>
                  <w:shd w:val="clear" w:color="auto" w:fill="FBE4D5" w:themeFill="accent2" w:themeFillTint="33"/>
                  <w:noWrap/>
                  <w:hideMark/>
                </w:tcPr>
                <w:p w14:paraId="5FF6C842" w14:textId="77777777" w:rsidR="000069A4" w:rsidRPr="000069A4" w:rsidRDefault="000069A4" w:rsidP="000069A4">
                  <w:pPr>
                    <w:jc w:val="right"/>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rPr>
                  </w:pPr>
                  <w:r w:rsidRPr="000069A4">
                    <w:rPr>
                      <w:rFonts w:ascii="Calibri" w:hAnsi="Calibri"/>
                      <w:color w:val="000000"/>
                      <w:sz w:val="22"/>
                      <w:szCs w:val="22"/>
                    </w:rPr>
                    <w:t>-0.39</w:t>
                  </w:r>
                </w:p>
              </w:tc>
              <w:tc>
                <w:tcPr>
                  <w:tcW w:w="0" w:type="auto"/>
                  <w:shd w:val="clear" w:color="auto" w:fill="FBE4D5" w:themeFill="accent2" w:themeFillTint="33"/>
                  <w:noWrap/>
                  <w:hideMark/>
                </w:tcPr>
                <w:p w14:paraId="196D8151" w14:textId="77777777" w:rsidR="000069A4" w:rsidRPr="000069A4" w:rsidRDefault="000069A4" w:rsidP="000069A4">
                  <w:pPr>
                    <w:jc w:val="right"/>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rPr>
                  </w:pPr>
                  <w:r w:rsidRPr="000069A4">
                    <w:rPr>
                      <w:rFonts w:ascii="Calibri" w:hAnsi="Calibri"/>
                      <w:color w:val="000000"/>
                      <w:sz w:val="22"/>
                      <w:szCs w:val="22"/>
                    </w:rPr>
                    <w:t>-0.41</w:t>
                  </w:r>
                </w:p>
              </w:tc>
              <w:tc>
                <w:tcPr>
                  <w:tcW w:w="0" w:type="auto"/>
                  <w:shd w:val="clear" w:color="auto" w:fill="FBE4D5" w:themeFill="accent2" w:themeFillTint="33"/>
                  <w:noWrap/>
                  <w:hideMark/>
                </w:tcPr>
                <w:p w14:paraId="1906C523" w14:textId="77777777" w:rsidR="000069A4" w:rsidRPr="000069A4" w:rsidRDefault="000069A4" w:rsidP="000069A4">
                  <w:pPr>
                    <w:jc w:val="right"/>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rPr>
                  </w:pPr>
                  <w:r w:rsidRPr="000069A4">
                    <w:rPr>
                      <w:rFonts w:ascii="Calibri" w:hAnsi="Calibri"/>
                      <w:color w:val="000000"/>
                      <w:sz w:val="22"/>
                      <w:szCs w:val="22"/>
                    </w:rPr>
                    <w:t>-0.59</w:t>
                  </w:r>
                </w:p>
              </w:tc>
              <w:tc>
                <w:tcPr>
                  <w:tcW w:w="0" w:type="auto"/>
                  <w:shd w:val="clear" w:color="auto" w:fill="FBE4D5" w:themeFill="accent2" w:themeFillTint="33"/>
                  <w:noWrap/>
                  <w:hideMark/>
                </w:tcPr>
                <w:p w14:paraId="33C598D9" w14:textId="77777777" w:rsidR="000069A4" w:rsidRPr="000069A4" w:rsidRDefault="000069A4" w:rsidP="000069A4">
                  <w:pPr>
                    <w:jc w:val="right"/>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rPr>
                  </w:pPr>
                  <w:r w:rsidRPr="000069A4">
                    <w:rPr>
                      <w:rFonts w:ascii="Calibri" w:hAnsi="Calibri"/>
                      <w:color w:val="000000"/>
                      <w:sz w:val="22"/>
                      <w:szCs w:val="22"/>
                    </w:rPr>
                    <w:t>-0.53</w:t>
                  </w:r>
                </w:p>
              </w:tc>
              <w:tc>
                <w:tcPr>
                  <w:tcW w:w="0" w:type="auto"/>
                  <w:shd w:val="clear" w:color="auto" w:fill="FBE4D5" w:themeFill="accent2" w:themeFillTint="33"/>
                  <w:noWrap/>
                  <w:hideMark/>
                </w:tcPr>
                <w:p w14:paraId="3E857B19" w14:textId="77777777" w:rsidR="000069A4" w:rsidRPr="000069A4" w:rsidRDefault="000069A4" w:rsidP="000069A4">
                  <w:pPr>
                    <w:jc w:val="right"/>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rPr>
                  </w:pPr>
                  <w:r w:rsidRPr="000069A4">
                    <w:rPr>
                      <w:rFonts w:ascii="Calibri" w:hAnsi="Calibri"/>
                      <w:color w:val="000000"/>
                      <w:sz w:val="22"/>
                      <w:szCs w:val="22"/>
                    </w:rPr>
                    <w:t>-0.49</w:t>
                  </w:r>
                </w:p>
              </w:tc>
            </w:tr>
            <w:tr w:rsidR="000069A4" w14:paraId="48675FED" w14:textId="77777777" w:rsidTr="000069A4">
              <w:trPr>
                <w:cnfStyle w:val="000000100000" w:firstRow="0" w:lastRow="0" w:firstColumn="0" w:lastColumn="0" w:oddVBand="0" w:evenVBand="0" w:oddHBand="1" w:evenHBand="0" w:firstRowFirstColumn="0" w:firstRowLastColumn="0" w:lastRowFirstColumn="0" w:lastRowLastColumn="0"/>
                <w:trHeight w:val="317"/>
              </w:trPr>
              <w:tc>
                <w:tcPr>
                  <w:cnfStyle w:val="001000000000" w:firstRow="0" w:lastRow="0" w:firstColumn="1" w:lastColumn="0" w:oddVBand="0" w:evenVBand="0" w:oddHBand="0" w:evenHBand="0" w:firstRowFirstColumn="0" w:firstRowLastColumn="0" w:lastRowFirstColumn="0" w:lastRowLastColumn="0"/>
                  <w:tcW w:w="0" w:type="auto"/>
                  <w:noWrap/>
                  <w:hideMark/>
                </w:tcPr>
                <w:p w14:paraId="4E109E28" w14:textId="77777777" w:rsidR="000069A4" w:rsidRPr="000069A4" w:rsidRDefault="000069A4" w:rsidP="000069A4">
                  <w:pPr>
                    <w:rPr>
                      <w:rFonts w:ascii="Calibri" w:hAnsi="Calibri"/>
                      <w:color w:val="000000"/>
                      <w:sz w:val="22"/>
                      <w:szCs w:val="22"/>
                    </w:rPr>
                  </w:pPr>
                  <w:r w:rsidRPr="000069A4">
                    <w:rPr>
                      <w:rFonts w:ascii="Calibri" w:hAnsi="Calibri"/>
                      <w:color w:val="000000"/>
                      <w:sz w:val="22"/>
                      <w:szCs w:val="22"/>
                    </w:rPr>
                    <w:t>Tanzania</w:t>
                  </w:r>
                </w:p>
              </w:tc>
              <w:tc>
                <w:tcPr>
                  <w:tcW w:w="0" w:type="auto"/>
                  <w:noWrap/>
                  <w:hideMark/>
                </w:tcPr>
                <w:p w14:paraId="6E904257" w14:textId="77777777" w:rsidR="000069A4" w:rsidRPr="000069A4" w:rsidRDefault="000069A4" w:rsidP="000069A4">
                  <w:pPr>
                    <w:jc w:val="right"/>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rPr>
                  </w:pPr>
                  <w:r w:rsidRPr="000069A4">
                    <w:rPr>
                      <w:rFonts w:ascii="Calibri" w:hAnsi="Calibri"/>
                      <w:color w:val="000000"/>
                      <w:sz w:val="22"/>
                      <w:szCs w:val="22"/>
                    </w:rPr>
                    <w:t>-0.72</w:t>
                  </w:r>
                </w:p>
              </w:tc>
              <w:tc>
                <w:tcPr>
                  <w:tcW w:w="0" w:type="auto"/>
                  <w:noWrap/>
                  <w:hideMark/>
                </w:tcPr>
                <w:p w14:paraId="2F4DED55" w14:textId="77777777" w:rsidR="000069A4" w:rsidRPr="000069A4" w:rsidRDefault="000069A4" w:rsidP="000069A4">
                  <w:pPr>
                    <w:jc w:val="right"/>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rPr>
                  </w:pPr>
                  <w:r w:rsidRPr="000069A4">
                    <w:rPr>
                      <w:rFonts w:ascii="Calibri" w:hAnsi="Calibri"/>
                      <w:color w:val="000000"/>
                      <w:sz w:val="22"/>
                      <w:szCs w:val="22"/>
                    </w:rPr>
                    <w:t>-0.8</w:t>
                  </w:r>
                </w:p>
              </w:tc>
              <w:tc>
                <w:tcPr>
                  <w:tcW w:w="0" w:type="auto"/>
                  <w:noWrap/>
                  <w:hideMark/>
                </w:tcPr>
                <w:p w14:paraId="5B9694BE" w14:textId="77777777" w:rsidR="000069A4" w:rsidRPr="000069A4" w:rsidRDefault="000069A4" w:rsidP="000069A4">
                  <w:pPr>
                    <w:jc w:val="right"/>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rPr>
                  </w:pPr>
                  <w:r w:rsidRPr="000069A4">
                    <w:rPr>
                      <w:rFonts w:ascii="Calibri" w:hAnsi="Calibri"/>
                      <w:color w:val="000000"/>
                      <w:sz w:val="22"/>
                      <w:szCs w:val="22"/>
                    </w:rPr>
                    <w:t>-0.79</w:t>
                  </w:r>
                </w:p>
              </w:tc>
              <w:tc>
                <w:tcPr>
                  <w:tcW w:w="0" w:type="auto"/>
                  <w:noWrap/>
                  <w:hideMark/>
                </w:tcPr>
                <w:p w14:paraId="3AD52613" w14:textId="77777777" w:rsidR="000069A4" w:rsidRPr="000069A4" w:rsidRDefault="000069A4" w:rsidP="000069A4">
                  <w:pPr>
                    <w:jc w:val="right"/>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rPr>
                  </w:pPr>
                  <w:r w:rsidRPr="000069A4">
                    <w:rPr>
                      <w:rFonts w:ascii="Calibri" w:hAnsi="Calibri"/>
                      <w:color w:val="000000"/>
                      <w:sz w:val="22"/>
                      <w:szCs w:val="22"/>
                    </w:rPr>
                    <w:t>-0.75</w:t>
                  </w:r>
                </w:p>
              </w:tc>
              <w:tc>
                <w:tcPr>
                  <w:tcW w:w="0" w:type="auto"/>
                  <w:noWrap/>
                  <w:hideMark/>
                </w:tcPr>
                <w:p w14:paraId="1E2273B5" w14:textId="77777777" w:rsidR="000069A4" w:rsidRPr="000069A4" w:rsidRDefault="000069A4" w:rsidP="000069A4">
                  <w:pPr>
                    <w:jc w:val="right"/>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rPr>
                  </w:pPr>
                  <w:r w:rsidRPr="000069A4">
                    <w:rPr>
                      <w:rFonts w:ascii="Calibri" w:hAnsi="Calibri"/>
                      <w:color w:val="000000"/>
                      <w:sz w:val="22"/>
                      <w:szCs w:val="22"/>
                    </w:rPr>
                    <w:t>-0.62</w:t>
                  </w:r>
                </w:p>
              </w:tc>
              <w:tc>
                <w:tcPr>
                  <w:tcW w:w="0" w:type="auto"/>
                  <w:noWrap/>
                  <w:hideMark/>
                </w:tcPr>
                <w:p w14:paraId="2ABDA133" w14:textId="77777777" w:rsidR="000069A4" w:rsidRPr="000069A4" w:rsidRDefault="000069A4" w:rsidP="000069A4">
                  <w:pPr>
                    <w:jc w:val="right"/>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rPr>
                  </w:pPr>
                  <w:r w:rsidRPr="000069A4">
                    <w:rPr>
                      <w:rFonts w:ascii="Calibri" w:hAnsi="Calibri"/>
                      <w:color w:val="000000"/>
                      <w:sz w:val="22"/>
                      <w:szCs w:val="22"/>
                    </w:rPr>
                    <w:t>-0.72</w:t>
                  </w:r>
                </w:p>
              </w:tc>
              <w:tc>
                <w:tcPr>
                  <w:tcW w:w="0" w:type="auto"/>
                  <w:noWrap/>
                  <w:hideMark/>
                </w:tcPr>
                <w:p w14:paraId="47DDEF14" w14:textId="77777777" w:rsidR="000069A4" w:rsidRPr="000069A4" w:rsidRDefault="000069A4" w:rsidP="000069A4">
                  <w:pPr>
                    <w:jc w:val="right"/>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rPr>
                  </w:pPr>
                  <w:r w:rsidRPr="000069A4">
                    <w:rPr>
                      <w:rFonts w:ascii="Calibri" w:hAnsi="Calibri"/>
                      <w:color w:val="000000"/>
                      <w:sz w:val="22"/>
                      <w:szCs w:val="22"/>
                    </w:rPr>
                    <w:t>-0.94</w:t>
                  </w:r>
                </w:p>
              </w:tc>
              <w:tc>
                <w:tcPr>
                  <w:tcW w:w="0" w:type="auto"/>
                  <w:noWrap/>
                  <w:hideMark/>
                </w:tcPr>
                <w:p w14:paraId="2829AC08" w14:textId="77777777" w:rsidR="000069A4" w:rsidRPr="000069A4" w:rsidRDefault="000069A4" w:rsidP="000069A4">
                  <w:pPr>
                    <w:jc w:val="right"/>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rPr>
                  </w:pPr>
                  <w:r w:rsidRPr="000069A4">
                    <w:rPr>
                      <w:rFonts w:ascii="Calibri" w:hAnsi="Calibri"/>
                      <w:color w:val="000000"/>
                      <w:sz w:val="22"/>
                      <w:szCs w:val="22"/>
                    </w:rPr>
                    <w:t>-0.87</w:t>
                  </w:r>
                </w:p>
              </w:tc>
              <w:tc>
                <w:tcPr>
                  <w:tcW w:w="0" w:type="auto"/>
                  <w:noWrap/>
                  <w:hideMark/>
                </w:tcPr>
                <w:p w14:paraId="61B9799C" w14:textId="77777777" w:rsidR="000069A4" w:rsidRPr="000069A4" w:rsidRDefault="000069A4" w:rsidP="000069A4">
                  <w:pPr>
                    <w:jc w:val="right"/>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rPr>
                  </w:pPr>
                  <w:r w:rsidRPr="000069A4">
                    <w:rPr>
                      <w:rFonts w:ascii="Calibri" w:hAnsi="Calibri"/>
                      <w:color w:val="000000"/>
                      <w:sz w:val="22"/>
                      <w:szCs w:val="22"/>
                    </w:rPr>
                    <w:t>-1.04</w:t>
                  </w:r>
                </w:p>
              </w:tc>
              <w:tc>
                <w:tcPr>
                  <w:tcW w:w="0" w:type="auto"/>
                  <w:noWrap/>
                  <w:hideMark/>
                </w:tcPr>
                <w:p w14:paraId="237B332F" w14:textId="77777777" w:rsidR="000069A4" w:rsidRPr="000069A4" w:rsidRDefault="000069A4" w:rsidP="000069A4">
                  <w:pPr>
                    <w:jc w:val="right"/>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rPr>
                  </w:pPr>
                  <w:r w:rsidRPr="000069A4">
                    <w:rPr>
                      <w:rFonts w:ascii="Calibri" w:hAnsi="Calibri"/>
                      <w:color w:val="000000"/>
                      <w:sz w:val="22"/>
                      <w:szCs w:val="22"/>
                    </w:rPr>
                    <w:t>-1.07</w:t>
                  </w:r>
                </w:p>
              </w:tc>
            </w:tr>
          </w:tbl>
          <w:p w14:paraId="16142988" w14:textId="77777777" w:rsidR="006A1F29" w:rsidRPr="006A1F29" w:rsidRDefault="006A1F29" w:rsidP="006A1F29">
            <w:pPr>
              <w:jc w:val="both"/>
              <w:rPr>
                <w:color w:val="44546A" w:themeColor="text2"/>
              </w:rPr>
            </w:pPr>
            <w:r w:rsidRPr="00755328">
              <w:rPr>
                <w:i/>
                <w:iCs/>
                <w:color w:val="44546A" w:themeColor="text2"/>
                <w:lang w:val="en-US"/>
              </w:rPr>
              <w:t xml:space="preserve">Source: </w:t>
            </w:r>
            <w:r w:rsidRPr="006A1F29">
              <w:rPr>
                <w:i/>
                <w:iCs/>
                <w:color w:val="44546A" w:themeColor="text2"/>
                <w:lang w:val="en-US"/>
              </w:rPr>
              <w:t>Atlas of Economic Complexity</w:t>
            </w:r>
          </w:p>
          <w:p w14:paraId="0C02B2EF" w14:textId="77777777" w:rsidR="000069A4" w:rsidRDefault="000069A4" w:rsidP="002943D5">
            <w:pPr>
              <w:jc w:val="both"/>
            </w:pPr>
          </w:p>
          <w:p w14:paraId="169C26DF" w14:textId="5B8403AC" w:rsidR="002943D5" w:rsidRDefault="002943D5" w:rsidP="000D26F3">
            <w:pPr>
              <w:spacing w:after="120"/>
              <w:jc w:val="both"/>
            </w:pPr>
            <w:r w:rsidRPr="002943D5">
              <w:t>The implications are that Uganda has the potential to grow well, so long as an encouraging environment is maintained for industries to expand and attempt new things. Support for new endeavours would help industry build knowledge faster, whilst strong human capital and infrastructure will encourage experimentation in ever more complex industries.</w:t>
            </w:r>
          </w:p>
        </w:tc>
      </w:tr>
    </w:tbl>
    <w:p w14:paraId="68BEF0E4" w14:textId="77777777" w:rsidR="003655C7" w:rsidRPr="003655C7" w:rsidRDefault="003655C7" w:rsidP="003655C7"/>
    <w:p w14:paraId="6C153EC5" w14:textId="23C6F57B" w:rsidR="00A35DD3" w:rsidRDefault="00A35DD3">
      <w:r>
        <w:br w:type="page"/>
      </w:r>
    </w:p>
    <w:p w14:paraId="40D4DF9F" w14:textId="36BC983B" w:rsidR="009945B8" w:rsidRDefault="009945B8" w:rsidP="009945B8">
      <w:pPr>
        <w:pStyle w:val="Heading1"/>
        <w:rPr>
          <w:lang w:eastAsia="en-GB"/>
        </w:rPr>
      </w:pPr>
      <w:bookmarkStart w:id="17" w:name="_Toc16493269"/>
      <w:r>
        <w:rPr>
          <w:lang w:eastAsia="en-GB"/>
        </w:rPr>
        <w:lastRenderedPageBreak/>
        <w:t>Barriers to growth</w:t>
      </w:r>
      <w:bookmarkEnd w:id="17"/>
    </w:p>
    <w:p w14:paraId="10C580AE" w14:textId="77777777" w:rsidR="00E713E6" w:rsidRDefault="00E713E6" w:rsidP="00E713E6">
      <w:pPr>
        <w:jc w:val="both"/>
      </w:pPr>
    </w:p>
    <w:p w14:paraId="49B6342A" w14:textId="5227F2DD" w:rsidR="00E713E6" w:rsidRDefault="00E713E6" w:rsidP="00E713E6">
      <w:pPr>
        <w:jc w:val="both"/>
      </w:pPr>
      <w:r>
        <w:t>D</w:t>
      </w:r>
      <w:r w:rsidRPr="00E713E6">
        <w:t>espite the rebound in Uganda’s economic growth rate since 2016/17, there still lies some inherent challenges ranging from relatively high poverty rates, increased income inequality levels, low per-capita GDP, reducing investment (both public and private) a</w:t>
      </w:r>
      <w:r>
        <w:t>nd</w:t>
      </w:r>
      <w:r w:rsidRPr="00E713E6">
        <w:t xml:space="preserve"> others.</w:t>
      </w:r>
    </w:p>
    <w:p w14:paraId="619CE2B9" w14:textId="5AB2B643" w:rsidR="00E713E6" w:rsidRDefault="00E713E6" w:rsidP="00E713E6">
      <w:pPr>
        <w:jc w:val="both"/>
      </w:pPr>
    </w:p>
    <w:p w14:paraId="2C6610E5" w14:textId="62C0381F" w:rsidR="001A4A52" w:rsidRPr="001A4A52" w:rsidRDefault="001A4A52" w:rsidP="001A4A52">
      <w:pPr>
        <w:pStyle w:val="Heading2"/>
        <w:rPr>
          <w:b/>
          <w:bCs/>
        </w:rPr>
      </w:pPr>
      <w:bookmarkStart w:id="18" w:name="_Toc16493270"/>
      <w:r>
        <w:t>P</w:t>
      </w:r>
      <w:r w:rsidRPr="001A4A52">
        <w:t>overty and income inequality</w:t>
      </w:r>
      <w:bookmarkEnd w:id="18"/>
    </w:p>
    <w:p w14:paraId="15070721" w14:textId="77777777" w:rsidR="00E713E6" w:rsidRPr="00E713E6" w:rsidRDefault="00E713E6" w:rsidP="00E713E6">
      <w:pPr>
        <w:jc w:val="both"/>
      </w:pPr>
    </w:p>
    <w:p w14:paraId="54C3ECF1" w14:textId="1B4C5F48" w:rsidR="00213D7B" w:rsidRPr="00213D7B" w:rsidRDefault="00213D7B" w:rsidP="00213D7B">
      <w:pPr>
        <w:jc w:val="both"/>
      </w:pPr>
      <w:r w:rsidRPr="00213D7B">
        <w:t xml:space="preserve">The 2016/17 Uganda National Household Survey report (UNHS) highlighted that more Ugandans slid below the poverty line as illustrated by an increase in poverty headcount ratio to 21.4% from the 19.7% estimated in 2012/13, </w:t>
      </w:r>
      <w:r w:rsidRPr="00213D7B">
        <w:rPr>
          <w:i/>
          <w:iCs/>
        </w:rPr>
        <w:t xml:space="preserve">Figure </w:t>
      </w:r>
      <w:r w:rsidR="00D7366F">
        <w:rPr>
          <w:i/>
          <w:iCs/>
        </w:rPr>
        <w:t>5</w:t>
      </w:r>
      <w:r w:rsidRPr="00213D7B">
        <w:t xml:space="preserve"> illustrates the poverty trend since 1999/00 till 2016/17.  </w:t>
      </w:r>
    </w:p>
    <w:p w14:paraId="7ED35669" w14:textId="488C1823" w:rsidR="00E713E6" w:rsidRDefault="00E713E6" w:rsidP="00824F86"/>
    <w:p w14:paraId="5FAE58D8" w14:textId="5EB40F19" w:rsidR="00D7366F" w:rsidRDefault="00D7366F" w:rsidP="00D7366F">
      <w:pPr>
        <w:pStyle w:val="Caption"/>
        <w:rPr>
          <w:sz w:val="24"/>
          <w:szCs w:val="24"/>
        </w:rPr>
      </w:pPr>
      <w:bookmarkStart w:id="19" w:name="_Toc16493712"/>
      <w:r w:rsidRPr="00755328">
        <w:rPr>
          <w:sz w:val="24"/>
          <w:szCs w:val="24"/>
        </w:rPr>
        <w:t xml:space="preserve">Figure </w:t>
      </w:r>
      <w:r w:rsidRPr="00755328">
        <w:rPr>
          <w:sz w:val="24"/>
          <w:szCs w:val="24"/>
        </w:rPr>
        <w:fldChar w:fldCharType="begin"/>
      </w:r>
      <w:r w:rsidRPr="00755328">
        <w:rPr>
          <w:sz w:val="24"/>
          <w:szCs w:val="24"/>
        </w:rPr>
        <w:instrText xml:space="preserve"> SEQ Figure \* ARABIC </w:instrText>
      </w:r>
      <w:r w:rsidRPr="00755328">
        <w:rPr>
          <w:sz w:val="24"/>
          <w:szCs w:val="24"/>
        </w:rPr>
        <w:fldChar w:fldCharType="separate"/>
      </w:r>
      <w:r>
        <w:rPr>
          <w:noProof/>
          <w:sz w:val="24"/>
          <w:szCs w:val="24"/>
        </w:rPr>
        <w:t>5</w:t>
      </w:r>
      <w:r w:rsidRPr="00755328">
        <w:rPr>
          <w:sz w:val="24"/>
          <w:szCs w:val="24"/>
        </w:rPr>
        <w:fldChar w:fldCharType="end"/>
      </w:r>
      <w:r w:rsidRPr="00755328">
        <w:rPr>
          <w:sz w:val="24"/>
          <w:szCs w:val="24"/>
        </w:rPr>
        <w:t xml:space="preserve">: </w:t>
      </w:r>
      <w:r>
        <w:rPr>
          <w:sz w:val="24"/>
          <w:szCs w:val="24"/>
        </w:rPr>
        <w:t xml:space="preserve">Uganda’s </w:t>
      </w:r>
      <w:r w:rsidR="0035306A">
        <w:rPr>
          <w:sz w:val="24"/>
          <w:szCs w:val="24"/>
        </w:rPr>
        <w:t>poverty trend</w:t>
      </w:r>
      <w:bookmarkEnd w:id="19"/>
    </w:p>
    <w:p w14:paraId="3CB41750" w14:textId="0A399262" w:rsidR="0035306A" w:rsidRPr="0035306A" w:rsidRDefault="00CD1656" w:rsidP="0035306A">
      <w:pPr>
        <w:rPr>
          <w:lang w:eastAsia="en-US"/>
        </w:rPr>
      </w:pPr>
      <w:r w:rsidRPr="000133B8">
        <w:rPr>
          <w:rFonts w:cstheme="minorHAnsi"/>
          <w:noProof/>
          <w:lang w:val="en-US" w:eastAsia="en-US"/>
        </w:rPr>
        <w:drawing>
          <wp:inline distT="0" distB="0" distL="0" distR="0" wp14:anchorId="5DB16B04" wp14:editId="1C177F90">
            <wp:extent cx="5724000" cy="2880000"/>
            <wp:effectExtent l="0" t="0" r="16510" b="15875"/>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2FA80299" w14:textId="5B78762E" w:rsidR="00515FD6" w:rsidRPr="00515FD6" w:rsidRDefault="00515FD6" w:rsidP="00515FD6">
      <w:pPr>
        <w:jc w:val="both"/>
        <w:rPr>
          <w:i/>
          <w:iCs/>
          <w:color w:val="44546A" w:themeColor="text2"/>
          <w:lang w:val="en-US"/>
        </w:rPr>
      </w:pPr>
      <w:r w:rsidRPr="00755328">
        <w:rPr>
          <w:i/>
          <w:iCs/>
          <w:color w:val="44546A" w:themeColor="text2"/>
          <w:lang w:val="en-US"/>
        </w:rPr>
        <w:t xml:space="preserve">Source: </w:t>
      </w:r>
      <w:r>
        <w:rPr>
          <w:i/>
          <w:iCs/>
          <w:color w:val="44546A" w:themeColor="text2"/>
          <w:lang w:val="en-US"/>
        </w:rPr>
        <w:t>UNHS 2016/17</w:t>
      </w:r>
    </w:p>
    <w:p w14:paraId="19A12A18" w14:textId="375AB14E" w:rsidR="00515FD6" w:rsidRDefault="00515FD6" w:rsidP="00824F86"/>
    <w:p w14:paraId="3CACDE57" w14:textId="3520704F" w:rsidR="00937C5B" w:rsidRPr="00937C5B" w:rsidRDefault="00937C5B" w:rsidP="00937C5B">
      <w:pPr>
        <w:jc w:val="both"/>
      </w:pPr>
      <w:r w:rsidRPr="00937C5B">
        <w:t xml:space="preserve">The increase in poverty rate in FY 2016/17 was in tandem </w:t>
      </w:r>
      <w:r w:rsidR="0078287E">
        <w:t>with</w:t>
      </w:r>
      <w:r w:rsidRPr="00937C5B">
        <w:t xml:space="preserve"> the movements in economic growth given that FY2016/17 registered the lowest GDP growth rate (3.9%) since FY12/13. </w:t>
      </w:r>
    </w:p>
    <w:p w14:paraId="4EDA7E94" w14:textId="2DDB688E" w:rsidR="00937C5B" w:rsidRDefault="00937C5B" w:rsidP="00937C5B">
      <w:pPr>
        <w:jc w:val="both"/>
      </w:pPr>
      <w:r w:rsidRPr="00937C5B">
        <w:t xml:space="preserve">However, with a revamp in economic growth rates since FY2017/18 and the positive prospects to higher GDP growth, poverty rates are expected to revert to the reducing trend </w:t>
      </w:r>
      <w:r w:rsidR="0078287E">
        <w:t>of</w:t>
      </w:r>
      <w:r w:rsidRPr="00937C5B">
        <w:t xml:space="preserve"> the past.</w:t>
      </w:r>
    </w:p>
    <w:p w14:paraId="0036E4F5" w14:textId="77777777" w:rsidR="0078287E" w:rsidRPr="00937C5B" w:rsidRDefault="0078287E" w:rsidP="00937C5B">
      <w:pPr>
        <w:jc w:val="both"/>
      </w:pPr>
    </w:p>
    <w:p w14:paraId="2F36DED7" w14:textId="18FD4028" w:rsidR="00937C5B" w:rsidRDefault="00937C5B" w:rsidP="00937C5B">
      <w:pPr>
        <w:jc w:val="both"/>
      </w:pPr>
      <w:r w:rsidRPr="00937C5B">
        <w:t xml:space="preserve">Additionally, income inequality as measured by the Gini Coefficient increased from 0.40 in 2012/13 to 0.42 in 2016/17. This was mainly driven by the urban areas, since it is where most of Uganda’s economic activity is concentrated and more highly educated </w:t>
      </w:r>
      <w:r w:rsidR="0078287E">
        <w:t>and</w:t>
      </w:r>
      <w:r w:rsidRPr="00937C5B">
        <w:t xml:space="preserve"> formally employed people are concentrated.</w:t>
      </w:r>
    </w:p>
    <w:p w14:paraId="469306B0" w14:textId="77777777" w:rsidR="0078287E" w:rsidRPr="00937C5B" w:rsidRDefault="0078287E" w:rsidP="00937C5B">
      <w:pPr>
        <w:jc w:val="both"/>
      </w:pPr>
    </w:p>
    <w:p w14:paraId="670FA73C" w14:textId="30D02007" w:rsidR="00937C5B" w:rsidRPr="00937C5B" w:rsidRDefault="00937C5B" w:rsidP="00937C5B">
      <w:pPr>
        <w:jc w:val="both"/>
      </w:pPr>
      <w:r w:rsidRPr="00937C5B">
        <w:t xml:space="preserve">The UNHS 2016/17 report </w:t>
      </w:r>
      <w:r w:rsidR="0078287E">
        <w:t>highlighted</w:t>
      </w:r>
      <w:r w:rsidRPr="00937C5B">
        <w:t xml:space="preserve"> that rural areas had lower income inequality estimates and yet with higher poverty ratios compared to urban areas. In addition, rural areas were highly characterised by household heads with no formal education or primary level as the highest level of education</w:t>
      </w:r>
      <w:r w:rsidR="003C1401">
        <w:t xml:space="preserve"> who are</w:t>
      </w:r>
      <w:r w:rsidRPr="00937C5B">
        <w:t xml:space="preserve"> causal labourers engaged in subsistence farming</w:t>
      </w:r>
      <w:r w:rsidR="003C1401">
        <w:t>.</w:t>
      </w:r>
    </w:p>
    <w:p w14:paraId="5E8F8D6D" w14:textId="77777777" w:rsidR="00937C5B" w:rsidRPr="00937C5B" w:rsidRDefault="00937C5B" w:rsidP="00937C5B">
      <w:pPr>
        <w:jc w:val="both"/>
      </w:pPr>
    </w:p>
    <w:p w14:paraId="44316644" w14:textId="02503B1D" w:rsidR="00937C5B" w:rsidRPr="00937C5B" w:rsidRDefault="00937C5B" w:rsidP="00937C5B">
      <w:pPr>
        <w:jc w:val="both"/>
      </w:pPr>
      <w:r w:rsidRPr="00937C5B">
        <w:lastRenderedPageBreak/>
        <w:t xml:space="preserve">This implies that going forward, </w:t>
      </w:r>
      <w:r w:rsidR="003C1401">
        <w:t>g</w:t>
      </w:r>
      <w:r w:rsidRPr="00937C5B">
        <w:t>overnment efforts should be focused on redirecting subsistence farmers into efficient market-oriented agriculture</w:t>
      </w:r>
      <w:r w:rsidR="003C1401">
        <w:t>.</w:t>
      </w:r>
      <w:r w:rsidRPr="00937C5B">
        <w:t xml:space="preserve"> </w:t>
      </w:r>
      <w:r w:rsidR="003C1401">
        <w:t>Government should also focus on</w:t>
      </w:r>
      <w:r w:rsidRPr="00937C5B">
        <w:t xml:space="preserve"> improv</w:t>
      </w:r>
      <w:r w:rsidR="003C1401">
        <w:t>ing</w:t>
      </w:r>
      <w:r w:rsidRPr="00937C5B">
        <w:t xml:space="preserve"> education and </w:t>
      </w:r>
      <w:r w:rsidR="003C1401">
        <w:t>up-</w:t>
      </w:r>
      <w:r w:rsidRPr="00937C5B">
        <w:t>skilling, as instruments to fast-track poverty reduction and reduce overall inequality in the country.</w:t>
      </w:r>
    </w:p>
    <w:p w14:paraId="2D50DB13" w14:textId="75079887" w:rsidR="00515FD6" w:rsidRDefault="00515FD6" w:rsidP="00824F86"/>
    <w:p w14:paraId="4A05160C" w14:textId="6A875B91" w:rsidR="000333E0" w:rsidRDefault="000333E0" w:rsidP="000333E0">
      <w:pPr>
        <w:pStyle w:val="Heading2"/>
      </w:pPr>
      <w:bookmarkStart w:id="20" w:name="_Toc16493271"/>
      <w:r>
        <w:t>GDP per capita</w:t>
      </w:r>
      <w:bookmarkEnd w:id="20"/>
    </w:p>
    <w:p w14:paraId="65D0A8D5" w14:textId="26F3CB71" w:rsidR="000333E0" w:rsidRDefault="000333E0" w:rsidP="000333E0">
      <w:pPr>
        <w:rPr>
          <w:lang w:eastAsia="en-US"/>
        </w:rPr>
      </w:pPr>
    </w:p>
    <w:p w14:paraId="2D08BAB7" w14:textId="295AF73B" w:rsidR="001055C7" w:rsidRPr="001055C7" w:rsidRDefault="001055C7" w:rsidP="001055C7">
      <w:pPr>
        <w:jc w:val="both"/>
        <w:rPr>
          <w:lang w:eastAsia="en-US"/>
        </w:rPr>
      </w:pPr>
      <w:r w:rsidRPr="001055C7">
        <w:rPr>
          <w:lang w:eastAsia="en-US"/>
        </w:rPr>
        <w:t>Uganda in the</w:t>
      </w:r>
      <w:r w:rsidR="001875D7">
        <w:rPr>
          <w:lang w:eastAsia="en-US"/>
        </w:rPr>
        <w:t xml:space="preserve"> second</w:t>
      </w:r>
      <w:r w:rsidRPr="001055C7">
        <w:rPr>
          <w:lang w:eastAsia="en-US"/>
        </w:rPr>
        <w:t xml:space="preserve"> N</w:t>
      </w:r>
      <w:r w:rsidR="001875D7">
        <w:rPr>
          <w:lang w:eastAsia="en-US"/>
        </w:rPr>
        <w:t xml:space="preserve">ational </w:t>
      </w:r>
      <w:r w:rsidRPr="001055C7">
        <w:rPr>
          <w:lang w:eastAsia="en-US"/>
        </w:rPr>
        <w:t>D</w:t>
      </w:r>
      <w:r w:rsidR="001875D7">
        <w:rPr>
          <w:lang w:eastAsia="en-US"/>
        </w:rPr>
        <w:t xml:space="preserve">evelopment </w:t>
      </w:r>
      <w:r w:rsidRPr="001055C7">
        <w:rPr>
          <w:lang w:eastAsia="en-US"/>
        </w:rPr>
        <w:t>P</w:t>
      </w:r>
      <w:r w:rsidR="001875D7">
        <w:rPr>
          <w:lang w:eastAsia="en-US"/>
        </w:rPr>
        <w:t>lan</w:t>
      </w:r>
      <w:r w:rsidRPr="001055C7">
        <w:rPr>
          <w:lang w:eastAsia="en-US"/>
        </w:rPr>
        <w:t xml:space="preserve"> aspires to become a middle</w:t>
      </w:r>
      <w:r w:rsidR="001875D7">
        <w:rPr>
          <w:lang w:eastAsia="en-US"/>
        </w:rPr>
        <w:t>-</w:t>
      </w:r>
      <w:r w:rsidRPr="001055C7">
        <w:rPr>
          <w:lang w:eastAsia="en-US"/>
        </w:rPr>
        <w:t>income country by 2020. This requires the attainment of a per</w:t>
      </w:r>
      <w:r w:rsidR="001875D7">
        <w:rPr>
          <w:lang w:eastAsia="en-US"/>
        </w:rPr>
        <w:t xml:space="preserve"> </w:t>
      </w:r>
      <w:r w:rsidRPr="001055C7">
        <w:rPr>
          <w:lang w:eastAsia="en-US"/>
        </w:rPr>
        <w:t>capita income of USD 1,026 by end of FY 2019/20. Currently for FY 2018/19, the projected per</w:t>
      </w:r>
      <w:r w:rsidR="001875D7">
        <w:rPr>
          <w:lang w:eastAsia="en-US"/>
        </w:rPr>
        <w:t xml:space="preserve"> </w:t>
      </w:r>
      <w:r w:rsidRPr="001055C7">
        <w:rPr>
          <w:lang w:eastAsia="en-US"/>
        </w:rPr>
        <w:t>capita income for Uganda is about USD 757</w:t>
      </w:r>
      <w:r w:rsidR="001875D7">
        <w:rPr>
          <w:lang w:eastAsia="en-US"/>
        </w:rPr>
        <w:t>.</w:t>
      </w:r>
      <w:r w:rsidRPr="001055C7">
        <w:rPr>
          <w:lang w:eastAsia="en-US"/>
        </w:rPr>
        <w:t xml:space="preserve"> </w:t>
      </w:r>
      <w:r w:rsidR="001875D7">
        <w:rPr>
          <w:lang w:eastAsia="en-US"/>
        </w:rPr>
        <w:t>T</w:t>
      </w:r>
      <w:r w:rsidRPr="001055C7">
        <w:rPr>
          <w:lang w:eastAsia="en-US"/>
        </w:rPr>
        <w:t xml:space="preserve">his implies that with one year to reach 2020, </w:t>
      </w:r>
      <w:r w:rsidR="001875D7">
        <w:rPr>
          <w:lang w:eastAsia="en-US"/>
        </w:rPr>
        <w:t>and an</w:t>
      </w:r>
      <w:r w:rsidRPr="001055C7">
        <w:rPr>
          <w:lang w:eastAsia="en-US"/>
        </w:rPr>
        <w:t xml:space="preserve"> average annual percentage growth in per</w:t>
      </w:r>
      <w:r w:rsidR="001875D7">
        <w:rPr>
          <w:lang w:eastAsia="en-US"/>
        </w:rPr>
        <w:t xml:space="preserve"> </w:t>
      </w:r>
      <w:r w:rsidRPr="001055C7">
        <w:rPr>
          <w:lang w:eastAsia="en-US"/>
        </w:rPr>
        <w:t xml:space="preserve">capita </w:t>
      </w:r>
      <w:r w:rsidR="001875D7">
        <w:rPr>
          <w:lang w:eastAsia="en-US"/>
        </w:rPr>
        <w:t>GDP of</w:t>
      </w:r>
      <w:r w:rsidRPr="001055C7">
        <w:rPr>
          <w:lang w:eastAsia="en-US"/>
        </w:rPr>
        <w:t xml:space="preserve"> about 2.1%, attainment of </w:t>
      </w:r>
      <w:r w:rsidR="001875D7" w:rsidRPr="001055C7">
        <w:rPr>
          <w:lang w:eastAsia="en-US"/>
        </w:rPr>
        <w:t>middle-income</w:t>
      </w:r>
      <w:r w:rsidRPr="001055C7">
        <w:rPr>
          <w:lang w:eastAsia="en-US"/>
        </w:rPr>
        <w:t xml:space="preserve"> status by 2020 is quite unlikely. </w:t>
      </w:r>
      <w:r w:rsidR="001875D7">
        <w:rPr>
          <w:lang w:eastAsia="en-US"/>
        </w:rPr>
        <w:t>One</w:t>
      </w:r>
      <w:r w:rsidRPr="001055C7">
        <w:rPr>
          <w:lang w:eastAsia="en-US"/>
        </w:rPr>
        <w:t xml:space="preserve"> of the major contributors to a low per</w:t>
      </w:r>
      <w:r w:rsidR="001875D7">
        <w:rPr>
          <w:lang w:eastAsia="en-US"/>
        </w:rPr>
        <w:t xml:space="preserve"> </w:t>
      </w:r>
      <w:r w:rsidRPr="001055C7">
        <w:rPr>
          <w:lang w:eastAsia="en-US"/>
        </w:rPr>
        <w:t xml:space="preserve">capita income levels is </w:t>
      </w:r>
      <w:r w:rsidR="001875D7">
        <w:rPr>
          <w:lang w:eastAsia="en-US"/>
        </w:rPr>
        <w:t>a</w:t>
      </w:r>
      <w:r w:rsidRPr="001055C7">
        <w:rPr>
          <w:lang w:eastAsia="en-US"/>
        </w:rPr>
        <w:t xml:space="preserve"> relatively fast population growth rate </w:t>
      </w:r>
      <w:r w:rsidR="001875D7">
        <w:rPr>
          <w:lang w:eastAsia="en-US"/>
        </w:rPr>
        <w:t>compared to</w:t>
      </w:r>
      <w:r w:rsidRPr="001055C7">
        <w:rPr>
          <w:lang w:eastAsia="en-US"/>
        </w:rPr>
        <w:t xml:space="preserve"> economic growth. </w:t>
      </w:r>
      <w:r w:rsidRPr="001055C7">
        <w:rPr>
          <w:i/>
          <w:iCs/>
          <w:lang w:eastAsia="en-US"/>
        </w:rPr>
        <w:t xml:space="preserve">Figure </w:t>
      </w:r>
      <w:r w:rsidR="00021828" w:rsidRPr="00021828">
        <w:rPr>
          <w:i/>
          <w:iCs/>
          <w:lang w:eastAsia="en-US"/>
        </w:rPr>
        <w:t>6</w:t>
      </w:r>
      <w:r w:rsidRPr="001055C7">
        <w:rPr>
          <w:lang w:eastAsia="en-US"/>
        </w:rPr>
        <w:t xml:space="preserve"> shows the trend in Uganda’s per</w:t>
      </w:r>
      <w:r w:rsidR="001875D7">
        <w:rPr>
          <w:lang w:eastAsia="en-US"/>
        </w:rPr>
        <w:t xml:space="preserve"> </w:t>
      </w:r>
      <w:r w:rsidRPr="001055C7">
        <w:rPr>
          <w:lang w:eastAsia="en-US"/>
        </w:rPr>
        <w:t>capita income levels</w:t>
      </w:r>
    </w:p>
    <w:p w14:paraId="71D07D8C" w14:textId="77777777" w:rsidR="001055C7" w:rsidRPr="000333E0" w:rsidRDefault="001055C7" w:rsidP="001055C7">
      <w:pPr>
        <w:jc w:val="both"/>
        <w:rPr>
          <w:lang w:eastAsia="en-US"/>
        </w:rPr>
      </w:pPr>
    </w:p>
    <w:p w14:paraId="4960DDD6" w14:textId="591CDEA0" w:rsidR="00021828" w:rsidRDefault="00021828" w:rsidP="00021828">
      <w:pPr>
        <w:pStyle w:val="Caption"/>
        <w:rPr>
          <w:sz w:val="24"/>
          <w:szCs w:val="24"/>
        </w:rPr>
      </w:pPr>
      <w:bookmarkStart w:id="21" w:name="_Toc16493713"/>
      <w:r w:rsidRPr="00755328">
        <w:rPr>
          <w:sz w:val="24"/>
          <w:szCs w:val="24"/>
        </w:rPr>
        <w:t xml:space="preserve">Figure </w:t>
      </w:r>
      <w:r w:rsidRPr="00755328">
        <w:rPr>
          <w:sz w:val="24"/>
          <w:szCs w:val="24"/>
        </w:rPr>
        <w:fldChar w:fldCharType="begin"/>
      </w:r>
      <w:r w:rsidRPr="00755328">
        <w:rPr>
          <w:sz w:val="24"/>
          <w:szCs w:val="24"/>
        </w:rPr>
        <w:instrText xml:space="preserve"> SEQ Figure \* ARABIC </w:instrText>
      </w:r>
      <w:r w:rsidRPr="00755328">
        <w:rPr>
          <w:sz w:val="24"/>
          <w:szCs w:val="24"/>
        </w:rPr>
        <w:fldChar w:fldCharType="separate"/>
      </w:r>
      <w:r w:rsidR="007A2F4E">
        <w:rPr>
          <w:noProof/>
          <w:sz w:val="24"/>
          <w:szCs w:val="24"/>
        </w:rPr>
        <w:t>6</w:t>
      </w:r>
      <w:r w:rsidRPr="00755328">
        <w:rPr>
          <w:sz w:val="24"/>
          <w:szCs w:val="24"/>
        </w:rPr>
        <w:fldChar w:fldCharType="end"/>
      </w:r>
      <w:r w:rsidRPr="00755328">
        <w:rPr>
          <w:sz w:val="24"/>
          <w:szCs w:val="24"/>
        </w:rPr>
        <w:t xml:space="preserve">: </w:t>
      </w:r>
      <w:r>
        <w:rPr>
          <w:sz w:val="24"/>
          <w:szCs w:val="24"/>
        </w:rPr>
        <w:t>Uganda’s per capita income levels</w:t>
      </w:r>
      <w:r w:rsidR="00077845">
        <w:rPr>
          <w:sz w:val="24"/>
          <w:szCs w:val="24"/>
        </w:rPr>
        <w:t xml:space="preserve"> (US Dollars)</w:t>
      </w:r>
      <w:bookmarkEnd w:id="21"/>
    </w:p>
    <w:p w14:paraId="245771FD" w14:textId="7483FDE8" w:rsidR="00021828" w:rsidRPr="00021828" w:rsidRDefault="00B90BCF" w:rsidP="00021828">
      <w:pPr>
        <w:rPr>
          <w:lang w:eastAsia="en-US"/>
        </w:rPr>
      </w:pPr>
      <w:r w:rsidRPr="000133B8">
        <w:rPr>
          <w:rFonts w:cstheme="minorHAnsi"/>
          <w:noProof/>
          <w:lang w:val="en-US" w:eastAsia="en-US"/>
        </w:rPr>
        <w:drawing>
          <wp:inline distT="0" distB="0" distL="0" distR="0" wp14:anchorId="06B0B07C" wp14:editId="1AE6AC06">
            <wp:extent cx="5724000" cy="2880000"/>
            <wp:effectExtent l="0" t="0" r="16510" b="15875"/>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1D4D8B23" w14:textId="42DF7756" w:rsidR="0030184B" w:rsidRPr="00515FD6" w:rsidRDefault="0030184B" w:rsidP="0030184B">
      <w:pPr>
        <w:jc w:val="both"/>
        <w:rPr>
          <w:i/>
          <w:iCs/>
          <w:color w:val="44546A" w:themeColor="text2"/>
          <w:lang w:val="en-US"/>
        </w:rPr>
      </w:pPr>
      <w:r w:rsidRPr="00755328">
        <w:rPr>
          <w:i/>
          <w:iCs/>
          <w:color w:val="44546A" w:themeColor="text2"/>
          <w:lang w:val="en-US"/>
        </w:rPr>
        <w:t xml:space="preserve">Source: </w:t>
      </w:r>
      <w:r>
        <w:rPr>
          <w:i/>
          <w:iCs/>
          <w:color w:val="44546A" w:themeColor="text2"/>
          <w:lang w:val="en-US"/>
        </w:rPr>
        <w:t>UBOS</w:t>
      </w:r>
    </w:p>
    <w:p w14:paraId="3F736C0D" w14:textId="11F1EBDF" w:rsidR="000333E0" w:rsidRDefault="000333E0" w:rsidP="001055C7">
      <w:pPr>
        <w:jc w:val="both"/>
      </w:pPr>
    </w:p>
    <w:p w14:paraId="7CF96525" w14:textId="1BC99379" w:rsidR="00404DF3" w:rsidRDefault="00404DF3" w:rsidP="00404DF3">
      <w:pPr>
        <w:pStyle w:val="Heading2"/>
      </w:pPr>
      <w:bookmarkStart w:id="22" w:name="_Toc16493272"/>
      <w:r>
        <w:t>Comparison of GDP per capita amongst EAC Partner States</w:t>
      </w:r>
      <w:bookmarkEnd w:id="22"/>
    </w:p>
    <w:p w14:paraId="08F28462" w14:textId="545EB8F6" w:rsidR="0030184B" w:rsidRDefault="0030184B" w:rsidP="001055C7">
      <w:pPr>
        <w:jc w:val="both"/>
      </w:pPr>
    </w:p>
    <w:p w14:paraId="5CD585D7" w14:textId="5B9C860F" w:rsidR="005073F1" w:rsidRPr="005073F1" w:rsidRDefault="005073F1" w:rsidP="005073F1">
      <w:pPr>
        <w:jc w:val="both"/>
      </w:pPr>
      <w:r w:rsidRPr="005073F1">
        <w:t>Uganda’s per</w:t>
      </w:r>
      <w:r>
        <w:t xml:space="preserve"> </w:t>
      </w:r>
      <w:r w:rsidRPr="005073F1">
        <w:t>capita GDP fell below the average of the EAC partner states</w:t>
      </w:r>
      <w:r w:rsidR="0052554C">
        <w:rPr>
          <w:rStyle w:val="FootnoteReference"/>
        </w:rPr>
        <w:footnoteReference w:id="3"/>
      </w:r>
      <w:r w:rsidRPr="005073F1">
        <w:t xml:space="preserve"> GDP per</w:t>
      </w:r>
      <w:r w:rsidR="00F128FA">
        <w:t xml:space="preserve"> </w:t>
      </w:r>
      <w:r w:rsidRPr="005073F1">
        <w:t>capita of USD 823.3</w:t>
      </w:r>
      <w:r>
        <w:t xml:space="preserve"> in 2017</w:t>
      </w:r>
      <w:r w:rsidRPr="005073F1">
        <w:t xml:space="preserve">. </w:t>
      </w:r>
      <w:r w:rsidRPr="005073F1">
        <w:rPr>
          <w:i/>
          <w:iCs/>
        </w:rPr>
        <w:t xml:space="preserve">Figure </w:t>
      </w:r>
      <w:r w:rsidR="007A2F4E" w:rsidRPr="007A2F4E">
        <w:rPr>
          <w:i/>
          <w:iCs/>
        </w:rPr>
        <w:t>7</w:t>
      </w:r>
      <w:r w:rsidRPr="005073F1">
        <w:t xml:space="preserve"> shows the trend of GDP per capita for the EAC partner States with the exception of South Sudan.</w:t>
      </w:r>
    </w:p>
    <w:p w14:paraId="50EA9D97" w14:textId="6659CD2C" w:rsidR="003F40BF" w:rsidRDefault="003F40BF" w:rsidP="001055C7">
      <w:pPr>
        <w:jc w:val="both"/>
      </w:pPr>
    </w:p>
    <w:p w14:paraId="54F3A02F" w14:textId="054AD941" w:rsidR="004C19BB" w:rsidRDefault="004C19BB" w:rsidP="004C19BB">
      <w:pPr>
        <w:pStyle w:val="Caption"/>
        <w:rPr>
          <w:sz w:val="24"/>
          <w:szCs w:val="24"/>
        </w:rPr>
      </w:pPr>
      <w:bookmarkStart w:id="23" w:name="_Toc16493714"/>
      <w:r w:rsidRPr="00755328">
        <w:rPr>
          <w:sz w:val="24"/>
          <w:szCs w:val="24"/>
        </w:rPr>
        <w:t xml:space="preserve">Figure </w:t>
      </w:r>
      <w:r w:rsidRPr="00755328">
        <w:rPr>
          <w:sz w:val="24"/>
          <w:szCs w:val="24"/>
        </w:rPr>
        <w:fldChar w:fldCharType="begin"/>
      </w:r>
      <w:r w:rsidRPr="00755328">
        <w:rPr>
          <w:sz w:val="24"/>
          <w:szCs w:val="24"/>
        </w:rPr>
        <w:instrText xml:space="preserve"> SEQ Figure \* ARABIC </w:instrText>
      </w:r>
      <w:r w:rsidRPr="00755328">
        <w:rPr>
          <w:sz w:val="24"/>
          <w:szCs w:val="24"/>
        </w:rPr>
        <w:fldChar w:fldCharType="separate"/>
      </w:r>
      <w:r w:rsidR="00554046">
        <w:rPr>
          <w:noProof/>
          <w:sz w:val="24"/>
          <w:szCs w:val="24"/>
        </w:rPr>
        <w:t>7</w:t>
      </w:r>
      <w:r w:rsidRPr="00755328">
        <w:rPr>
          <w:sz w:val="24"/>
          <w:szCs w:val="24"/>
        </w:rPr>
        <w:fldChar w:fldCharType="end"/>
      </w:r>
      <w:r w:rsidRPr="00755328">
        <w:rPr>
          <w:sz w:val="24"/>
          <w:szCs w:val="24"/>
        </w:rPr>
        <w:t xml:space="preserve">: </w:t>
      </w:r>
      <w:r>
        <w:rPr>
          <w:sz w:val="24"/>
          <w:szCs w:val="24"/>
        </w:rPr>
        <w:t>EAC Partner State’s GDP per capita (US Dollars)</w:t>
      </w:r>
      <w:bookmarkEnd w:id="23"/>
    </w:p>
    <w:p w14:paraId="1E20F6BD" w14:textId="271FC13C" w:rsidR="00143B52" w:rsidRDefault="00E032F2" w:rsidP="001055C7">
      <w:pPr>
        <w:jc w:val="both"/>
      </w:pPr>
      <w:r w:rsidRPr="000133B8">
        <w:rPr>
          <w:rFonts w:cstheme="minorHAnsi"/>
          <w:noProof/>
          <w:lang w:val="en-US" w:eastAsia="en-US"/>
        </w:rPr>
        <w:lastRenderedPageBreak/>
        <w:drawing>
          <wp:inline distT="0" distB="0" distL="0" distR="0" wp14:anchorId="1BB9038A" wp14:editId="5E28290C">
            <wp:extent cx="5724000" cy="2880000"/>
            <wp:effectExtent l="0" t="0" r="16510" b="15875"/>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42AD2C9C" w14:textId="3405C08C" w:rsidR="00D60EE6" w:rsidRPr="00515FD6" w:rsidRDefault="00D60EE6" w:rsidP="00D60EE6">
      <w:pPr>
        <w:jc w:val="both"/>
        <w:rPr>
          <w:i/>
          <w:iCs/>
          <w:color w:val="44546A" w:themeColor="text2"/>
          <w:lang w:val="en-US"/>
        </w:rPr>
      </w:pPr>
      <w:r w:rsidRPr="00755328">
        <w:rPr>
          <w:i/>
          <w:iCs/>
          <w:color w:val="44546A" w:themeColor="text2"/>
          <w:lang w:val="en-US"/>
        </w:rPr>
        <w:t xml:space="preserve">Source: </w:t>
      </w:r>
      <w:r>
        <w:rPr>
          <w:i/>
          <w:iCs/>
          <w:color w:val="44546A" w:themeColor="text2"/>
          <w:lang w:val="en-US"/>
        </w:rPr>
        <w:t>EAC</w:t>
      </w:r>
    </w:p>
    <w:p w14:paraId="0844F550" w14:textId="5BB87BD2" w:rsidR="00D60EE6" w:rsidRDefault="00D60EE6" w:rsidP="001055C7">
      <w:pPr>
        <w:jc w:val="both"/>
      </w:pPr>
    </w:p>
    <w:p w14:paraId="69DCBC79" w14:textId="1381A998" w:rsidR="001D2BAC" w:rsidRPr="001D2BAC" w:rsidRDefault="001D2BAC" w:rsidP="001D2BAC">
      <w:pPr>
        <w:jc w:val="both"/>
      </w:pPr>
      <w:r>
        <w:t>Population growth is hard to address in the short term. Therefore</w:t>
      </w:r>
      <w:r w:rsidRPr="001D2BAC">
        <w:t xml:space="preserve">, for Uganda to </w:t>
      </w:r>
      <w:r>
        <w:t>obtain</w:t>
      </w:r>
      <w:r w:rsidRPr="001D2BAC">
        <w:t xml:space="preserve"> middle-income status in the short to medium term</w:t>
      </w:r>
      <w:r>
        <w:t>,</w:t>
      </w:r>
      <w:r w:rsidRPr="001D2BAC">
        <w:t xml:space="preserve"> and </w:t>
      </w:r>
      <w:r>
        <w:t>close the gap to the</w:t>
      </w:r>
      <w:r w:rsidRPr="001D2BAC">
        <w:t xml:space="preserve"> EAC average per</w:t>
      </w:r>
      <w:r>
        <w:t xml:space="preserve"> </w:t>
      </w:r>
      <w:r w:rsidRPr="001D2BAC">
        <w:t xml:space="preserve">capita GDP, </w:t>
      </w:r>
      <w:r>
        <w:t>Uganda will need to increase its GDP growth rate</w:t>
      </w:r>
      <w:r w:rsidRPr="001D2BAC">
        <w:t xml:space="preserve">. Uganda </w:t>
      </w:r>
      <w:r>
        <w:t xml:space="preserve">will need </w:t>
      </w:r>
      <w:r w:rsidRPr="001D2BAC">
        <w:t xml:space="preserve">to enhance economic growth </w:t>
      </w:r>
      <w:r>
        <w:t>closer</w:t>
      </w:r>
      <w:r w:rsidRPr="001D2BAC">
        <w:t xml:space="preserve"> to </w:t>
      </w:r>
      <w:r>
        <w:t xml:space="preserve">its </w:t>
      </w:r>
      <w:r w:rsidRPr="001D2BAC">
        <w:t xml:space="preserve">potential </w:t>
      </w:r>
      <w:r>
        <w:t xml:space="preserve">of </w:t>
      </w:r>
      <w:r w:rsidRPr="001D2BAC">
        <w:t>6.5%-7% in the medium term.</w:t>
      </w:r>
    </w:p>
    <w:p w14:paraId="4F7313A2" w14:textId="77777777" w:rsidR="00D60EE6" w:rsidRDefault="00D60EE6" w:rsidP="001055C7">
      <w:pPr>
        <w:jc w:val="both"/>
      </w:pPr>
    </w:p>
    <w:p w14:paraId="23A275DA" w14:textId="7F441B2E" w:rsidR="003B7652" w:rsidRDefault="003B7652" w:rsidP="003B7652">
      <w:pPr>
        <w:pStyle w:val="Heading2"/>
      </w:pPr>
      <w:bookmarkStart w:id="24" w:name="_Toc16493273"/>
      <w:r>
        <w:t>National investment</w:t>
      </w:r>
      <w:bookmarkEnd w:id="24"/>
    </w:p>
    <w:p w14:paraId="51ABB0DF" w14:textId="72D3AE97" w:rsidR="00D60EE6" w:rsidRDefault="00D60EE6" w:rsidP="001055C7">
      <w:pPr>
        <w:jc w:val="both"/>
      </w:pPr>
    </w:p>
    <w:p w14:paraId="18BE947D" w14:textId="4C1221D5" w:rsidR="001F10EE" w:rsidRPr="001F10EE" w:rsidRDefault="001F10EE" w:rsidP="001F10EE">
      <w:pPr>
        <w:jc w:val="both"/>
        <w:rPr>
          <w:lang w:val="en-US"/>
        </w:rPr>
      </w:pPr>
      <w:r w:rsidRPr="001F10EE">
        <w:rPr>
          <w:lang w:val="en-US"/>
        </w:rPr>
        <w:t>Uganda’s total investment as a percentage of GDP has oscillated at about 26% for the last ten years. Compar</w:t>
      </w:r>
      <w:r>
        <w:rPr>
          <w:lang w:val="en-US"/>
        </w:rPr>
        <w:t>ed to a</w:t>
      </w:r>
      <w:r w:rsidRPr="001F10EE">
        <w:rPr>
          <w:lang w:val="en-US"/>
        </w:rPr>
        <w:t xml:space="preserve"> five-year average of 27% for the period 2009/10-2013/14 and 24% five-year average for the period 2014/15-2018/19, indicates that there has been a slight reduction in investment as percentage of GDP. </w:t>
      </w:r>
    </w:p>
    <w:p w14:paraId="62533DD3" w14:textId="77777777" w:rsidR="001F10EE" w:rsidRPr="001F10EE" w:rsidRDefault="001F10EE" w:rsidP="001F10EE">
      <w:pPr>
        <w:jc w:val="both"/>
        <w:rPr>
          <w:lang w:val="en-US"/>
        </w:rPr>
      </w:pPr>
    </w:p>
    <w:p w14:paraId="2E77AD42" w14:textId="29738425" w:rsidR="001F10EE" w:rsidRPr="001F10EE" w:rsidRDefault="001F10EE" w:rsidP="001F10EE">
      <w:pPr>
        <w:jc w:val="both"/>
        <w:rPr>
          <w:lang w:val="en-US"/>
        </w:rPr>
      </w:pPr>
      <w:r w:rsidRPr="001F10EE">
        <w:rPr>
          <w:lang w:val="en-US"/>
        </w:rPr>
        <w:t xml:space="preserve">The share of public investment in GDP has not changed significantly despite the rise in the share of the development </w:t>
      </w:r>
      <w:r>
        <w:rPr>
          <w:lang w:val="en-US"/>
        </w:rPr>
        <w:t>b</w:t>
      </w:r>
      <w:r w:rsidRPr="001F10EE">
        <w:rPr>
          <w:lang w:val="en-US"/>
        </w:rPr>
        <w:t>udget from 36</w:t>
      </w:r>
      <w:r>
        <w:rPr>
          <w:lang w:val="en-US"/>
        </w:rPr>
        <w:t>%</w:t>
      </w:r>
      <w:r w:rsidRPr="001F10EE">
        <w:rPr>
          <w:lang w:val="en-US"/>
        </w:rPr>
        <w:t xml:space="preserve"> in FY 2009/10 to </w:t>
      </w:r>
      <w:r>
        <w:rPr>
          <w:lang w:val="en-US"/>
        </w:rPr>
        <w:t>47%</w:t>
      </w:r>
      <w:r w:rsidRPr="001F10EE">
        <w:rPr>
          <w:lang w:val="en-US"/>
        </w:rPr>
        <w:t xml:space="preserve"> in 2018/19. This implies a low impact of public investment in the economy; partly explained by the weak investment content of many of the projects in the Public Investment Plan (PIP); and the slow execution of recent large infrastructure projects. </w:t>
      </w:r>
      <w:r w:rsidRPr="001F10EE">
        <w:rPr>
          <w:i/>
          <w:iCs/>
          <w:lang w:val="en-US"/>
        </w:rPr>
        <w:t xml:space="preserve">Figure </w:t>
      </w:r>
      <w:r w:rsidR="00554046" w:rsidRPr="00554046">
        <w:rPr>
          <w:i/>
          <w:iCs/>
          <w:lang w:val="en-US"/>
        </w:rPr>
        <w:t>8</w:t>
      </w:r>
      <w:r w:rsidR="00554046">
        <w:rPr>
          <w:lang w:val="en-US"/>
        </w:rPr>
        <w:t xml:space="preserve"> </w:t>
      </w:r>
      <w:r w:rsidRPr="001F10EE">
        <w:rPr>
          <w:lang w:val="en-US"/>
        </w:rPr>
        <w:t>shows the proportion of Uganda’s investment as a percentage of GDP over the last ten years.</w:t>
      </w:r>
    </w:p>
    <w:p w14:paraId="3DDDD2DD" w14:textId="18A32A45" w:rsidR="003B7652" w:rsidRDefault="003B7652" w:rsidP="001055C7">
      <w:pPr>
        <w:jc w:val="both"/>
      </w:pPr>
    </w:p>
    <w:p w14:paraId="3E048DAE" w14:textId="438A7898" w:rsidR="00554046" w:rsidRDefault="00554046" w:rsidP="00554046">
      <w:pPr>
        <w:pStyle w:val="Caption"/>
        <w:rPr>
          <w:sz w:val="24"/>
          <w:szCs w:val="24"/>
        </w:rPr>
      </w:pPr>
      <w:bookmarkStart w:id="25" w:name="_Toc16493715"/>
      <w:r w:rsidRPr="00755328">
        <w:rPr>
          <w:sz w:val="24"/>
          <w:szCs w:val="24"/>
        </w:rPr>
        <w:t xml:space="preserve">Figure </w:t>
      </w:r>
      <w:r w:rsidRPr="00755328">
        <w:rPr>
          <w:sz w:val="24"/>
          <w:szCs w:val="24"/>
        </w:rPr>
        <w:fldChar w:fldCharType="begin"/>
      </w:r>
      <w:r w:rsidRPr="00755328">
        <w:rPr>
          <w:sz w:val="24"/>
          <w:szCs w:val="24"/>
        </w:rPr>
        <w:instrText xml:space="preserve"> SEQ Figure \* ARABIC </w:instrText>
      </w:r>
      <w:r w:rsidRPr="00755328">
        <w:rPr>
          <w:sz w:val="24"/>
          <w:szCs w:val="24"/>
        </w:rPr>
        <w:fldChar w:fldCharType="separate"/>
      </w:r>
      <w:r>
        <w:rPr>
          <w:noProof/>
          <w:sz w:val="24"/>
          <w:szCs w:val="24"/>
        </w:rPr>
        <w:t>8</w:t>
      </w:r>
      <w:r w:rsidRPr="00755328">
        <w:rPr>
          <w:sz w:val="24"/>
          <w:szCs w:val="24"/>
        </w:rPr>
        <w:fldChar w:fldCharType="end"/>
      </w:r>
      <w:r w:rsidRPr="00755328">
        <w:rPr>
          <w:sz w:val="24"/>
          <w:szCs w:val="24"/>
        </w:rPr>
        <w:t xml:space="preserve">: </w:t>
      </w:r>
      <w:r w:rsidR="004C1B70">
        <w:rPr>
          <w:sz w:val="24"/>
          <w:szCs w:val="24"/>
        </w:rPr>
        <w:t>Investment as a % of GDP</w:t>
      </w:r>
      <w:bookmarkEnd w:id="25"/>
    </w:p>
    <w:p w14:paraId="4699615F" w14:textId="6B9D2CCE" w:rsidR="00554046" w:rsidRDefault="00C25FBF" w:rsidP="001055C7">
      <w:pPr>
        <w:jc w:val="both"/>
      </w:pPr>
      <w:r w:rsidRPr="000133B8">
        <w:rPr>
          <w:rFonts w:cstheme="minorHAnsi"/>
          <w:noProof/>
          <w:lang w:val="en-US" w:eastAsia="en-US"/>
        </w:rPr>
        <w:lastRenderedPageBreak/>
        <w:drawing>
          <wp:inline distT="0" distB="0" distL="0" distR="0" wp14:anchorId="07CCD1FA" wp14:editId="71E91024">
            <wp:extent cx="5724000" cy="2880000"/>
            <wp:effectExtent l="0" t="0" r="16510" b="15875"/>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17FE6103" w14:textId="130E1E68" w:rsidR="00F76166" w:rsidRPr="00515FD6" w:rsidRDefault="00F76166" w:rsidP="00F76166">
      <w:pPr>
        <w:jc w:val="both"/>
        <w:rPr>
          <w:i/>
          <w:iCs/>
          <w:color w:val="44546A" w:themeColor="text2"/>
          <w:lang w:val="en-US"/>
        </w:rPr>
      </w:pPr>
      <w:r w:rsidRPr="00755328">
        <w:rPr>
          <w:i/>
          <w:iCs/>
          <w:color w:val="44546A" w:themeColor="text2"/>
          <w:lang w:val="en-US"/>
        </w:rPr>
        <w:t xml:space="preserve">Source: </w:t>
      </w:r>
      <w:r>
        <w:rPr>
          <w:i/>
          <w:iCs/>
          <w:color w:val="44546A" w:themeColor="text2"/>
          <w:lang w:val="en-US"/>
        </w:rPr>
        <w:t>UBOS</w:t>
      </w:r>
    </w:p>
    <w:p w14:paraId="04E0429E" w14:textId="2A686AB0" w:rsidR="00554046" w:rsidRDefault="00554046" w:rsidP="001055C7">
      <w:pPr>
        <w:jc w:val="both"/>
      </w:pPr>
    </w:p>
    <w:p w14:paraId="630161D0" w14:textId="3650BF4F" w:rsidR="00A404CA" w:rsidRPr="00A404CA" w:rsidRDefault="00A404CA" w:rsidP="00A404CA">
      <w:pPr>
        <w:jc w:val="both"/>
      </w:pPr>
      <w:r w:rsidRPr="00A404CA">
        <w:t>Private investment as a percentage of GDP has also been reducing since FY201</w:t>
      </w:r>
      <w:r>
        <w:t>2</w:t>
      </w:r>
      <w:r w:rsidRPr="00A404CA">
        <w:t>/1</w:t>
      </w:r>
      <w:r>
        <w:t>3</w:t>
      </w:r>
      <w:r w:rsidRPr="00A404CA">
        <w:t xml:space="preserve"> from 24% to 22% in FY 2018/19. This deterioration is in tandem with Uganda’s </w:t>
      </w:r>
      <w:r>
        <w:t xml:space="preserve">declining </w:t>
      </w:r>
      <w:r w:rsidRPr="00A404CA">
        <w:t xml:space="preserve">rank </w:t>
      </w:r>
      <w:r>
        <w:t>in</w:t>
      </w:r>
      <w:r w:rsidRPr="00A404CA">
        <w:t xml:space="preserve"> the World </w:t>
      </w:r>
      <w:r>
        <w:t>B</w:t>
      </w:r>
      <w:r w:rsidRPr="00A404CA">
        <w:t>ank’s ease of doing business index; from a low of 115 in 2016 to 127 in 2018</w:t>
      </w:r>
      <w:r>
        <w:t>.</w:t>
      </w:r>
    </w:p>
    <w:p w14:paraId="02D199C3" w14:textId="30C73FC1" w:rsidR="00554046" w:rsidRDefault="00554046" w:rsidP="001055C7">
      <w:pPr>
        <w:jc w:val="both"/>
      </w:pPr>
    </w:p>
    <w:p w14:paraId="66E5ACD9" w14:textId="7CB70B8F" w:rsidR="00B70153" w:rsidRDefault="00B70153">
      <w:r>
        <w:br w:type="page"/>
      </w:r>
    </w:p>
    <w:p w14:paraId="49326455" w14:textId="35418501" w:rsidR="00480F4E" w:rsidRDefault="00480F4E" w:rsidP="00480F4E">
      <w:pPr>
        <w:pStyle w:val="Heading1"/>
        <w:rPr>
          <w:lang w:eastAsia="en-GB"/>
        </w:rPr>
      </w:pPr>
      <w:bookmarkStart w:id="26" w:name="_Toc16493274"/>
      <w:r>
        <w:rPr>
          <w:lang w:eastAsia="en-GB"/>
        </w:rPr>
        <w:lastRenderedPageBreak/>
        <w:t>Government’s growth strategy</w:t>
      </w:r>
      <w:bookmarkEnd w:id="26"/>
    </w:p>
    <w:p w14:paraId="2D983661" w14:textId="436AF7DC" w:rsidR="00480F4E" w:rsidRDefault="00480F4E" w:rsidP="00480F4E"/>
    <w:p w14:paraId="663671B7" w14:textId="77777777" w:rsidR="000E2A78" w:rsidRPr="000E2A78" w:rsidRDefault="000E2A78" w:rsidP="000E2A78">
      <w:pPr>
        <w:jc w:val="both"/>
      </w:pPr>
      <w:r w:rsidRPr="000E2A78">
        <w:t xml:space="preserve">Minister </w:t>
      </w:r>
      <w:proofErr w:type="spellStart"/>
      <w:r w:rsidRPr="000E2A78">
        <w:t>Kasaija</w:t>
      </w:r>
      <w:proofErr w:type="spellEnd"/>
      <w:r w:rsidRPr="000E2A78">
        <w:t xml:space="preserve"> outlined the government's growth strategy, </w:t>
      </w:r>
      <w:r w:rsidRPr="000E2A78">
        <w:rPr>
          <w:b/>
          <w:bCs/>
          <w:i/>
          <w:iCs/>
        </w:rPr>
        <w:t>Industrialization for Job Creation and Shared Prosperity</w:t>
      </w:r>
      <w:r w:rsidRPr="000E2A78">
        <w:t>, during the budget speech. It is the government's commitment to achieve middle income status through interventions targeted at inclusive growth and socio-economic transformation.</w:t>
      </w:r>
    </w:p>
    <w:p w14:paraId="51B576E9" w14:textId="77777777" w:rsidR="000E2A78" w:rsidRPr="000E2A78" w:rsidRDefault="000E2A78" w:rsidP="000E2A78">
      <w:pPr>
        <w:jc w:val="both"/>
      </w:pPr>
    </w:p>
    <w:p w14:paraId="399FA508" w14:textId="77777777" w:rsidR="000E2A78" w:rsidRPr="000E2A78" w:rsidRDefault="000E2A78" w:rsidP="000E2A78">
      <w:pPr>
        <w:jc w:val="both"/>
      </w:pPr>
      <w:r w:rsidRPr="000E2A78">
        <w:t>The Economic Growth Strategy consists of three interlinked parts:</w:t>
      </w:r>
    </w:p>
    <w:p w14:paraId="3C8AFC52" w14:textId="77777777" w:rsidR="000E2A78" w:rsidRPr="000E2A78" w:rsidRDefault="000E2A78" w:rsidP="000E2A78">
      <w:pPr>
        <w:jc w:val="both"/>
      </w:pPr>
    </w:p>
    <w:p w14:paraId="3AFEBC84" w14:textId="77777777" w:rsidR="000E2A78" w:rsidRPr="000E2A78" w:rsidRDefault="000E2A78" w:rsidP="000E2A78">
      <w:pPr>
        <w:jc w:val="both"/>
      </w:pPr>
      <w:proofErr w:type="spellStart"/>
      <w:r w:rsidRPr="000E2A78">
        <w:rPr>
          <w:i/>
          <w:iCs/>
        </w:rPr>
        <w:t>i</w:t>
      </w:r>
      <w:proofErr w:type="spellEnd"/>
      <w:r w:rsidRPr="000E2A78">
        <w:rPr>
          <w:i/>
          <w:iCs/>
        </w:rPr>
        <w:t>) Expanding the industrial base of the economy;</w:t>
      </w:r>
    </w:p>
    <w:p w14:paraId="5992EEEA" w14:textId="77777777" w:rsidR="000E2A78" w:rsidRPr="000E2A78" w:rsidRDefault="000E2A78" w:rsidP="000E2A78">
      <w:pPr>
        <w:jc w:val="both"/>
      </w:pPr>
      <w:r w:rsidRPr="000E2A78">
        <w:rPr>
          <w:i/>
          <w:iCs/>
        </w:rPr>
        <w:t>ii) Exploiting natural resource endowments with environmental protection in mind; and</w:t>
      </w:r>
    </w:p>
    <w:p w14:paraId="74E4747A" w14:textId="77777777" w:rsidR="000E2A78" w:rsidRPr="000E2A78" w:rsidRDefault="000E2A78" w:rsidP="000E2A78">
      <w:pPr>
        <w:jc w:val="both"/>
      </w:pPr>
      <w:r w:rsidRPr="000E2A78">
        <w:rPr>
          <w:i/>
          <w:iCs/>
        </w:rPr>
        <w:t>iii) Providing affordable financing for production and business.</w:t>
      </w:r>
    </w:p>
    <w:p w14:paraId="7B55549E" w14:textId="77777777" w:rsidR="000E2A78" w:rsidRPr="000E2A78" w:rsidRDefault="000E2A78" w:rsidP="000E2A78">
      <w:pPr>
        <w:jc w:val="both"/>
      </w:pPr>
    </w:p>
    <w:p w14:paraId="07501D46" w14:textId="77777777" w:rsidR="001F6E41" w:rsidRPr="001F6E41" w:rsidRDefault="001F6E41" w:rsidP="00D51239">
      <w:pPr>
        <w:pStyle w:val="Heading3"/>
      </w:pPr>
      <w:bookmarkStart w:id="27" w:name="_Toc16493275"/>
      <w:r w:rsidRPr="001F6E41">
        <w:t>Expanding the industrial base of the economy</w:t>
      </w:r>
      <w:bookmarkEnd w:id="27"/>
    </w:p>
    <w:p w14:paraId="277FB543" w14:textId="77777777" w:rsidR="001F6E41" w:rsidRPr="001F6E41" w:rsidRDefault="001F6E41" w:rsidP="001F6E41">
      <w:pPr>
        <w:jc w:val="both"/>
      </w:pPr>
    </w:p>
    <w:p w14:paraId="695992F8" w14:textId="77777777" w:rsidR="001F6E41" w:rsidRPr="001F6E41" w:rsidRDefault="001F6E41" w:rsidP="001F6E41">
      <w:pPr>
        <w:jc w:val="both"/>
      </w:pPr>
      <w:r w:rsidRPr="001F6E41">
        <w:t>Key bottlenecks to industrialisation, such as electricity and transport infrastructure and access to basic education and healthcare, have been addressed. The manufacturing sector is able to meet domestic demand for some basic products and consumables. The next phase of manufacturing will be to produce goods for export and import substitution.</w:t>
      </w:r>
    </w:p>
    <w:p w14:paraId="2C6826CF" w14:textId="77777777" w:rsidR="001F6E41" w:rsidRPr="001F6E41" w:rsidRDefault="001F6E41" w:rsidP="001F6E41">
      <w:pPr>
        <w:jc w:val="both"/>
      </w:pPr>
    </w:p>
    <w:p w14:paraId="32A5B090" w14:textId="77777777" w:rsidR="001F6E41" w:rsidRPr="001F6E41" w:rsidRDefault="001F6E41" w:rsidP="001F6E41">
      <w:pPr>
        <w:jc w:val="both"/>
      </w:pPr>
      <w:r w:rsidRPr="001F6E41">
        <w:t>There are two pillars to this strategy. The first will create industrial parks in 22 locations around the country. These fully serviced industrial parks will allow industries to take advantage of economies of agglomeration. The second pillar will encourage commodity value chain enhancement within the country. Through linking farmers and entrepreneurs, and providing efficient provision of finance more agro-processing value addition can be done in country. Product value chains have already been successful for citrus fruit, vegetable oil and dairy industries.</w:t>
      </w:r>
    </w:p>
    <w:p w14:paraId="1973443B" w14:textId="77777777" w:rsidR="001F6E41" w:rsidRPr="001F6E41" w:rsidRDefault="001F6E41" w:rsidP="001F6E41">
      <w:pPr>
        <w:jc w:val="both"/>
      </w:pPr>
    </w:p>
    <w:p w14:paraId="41F95B98" w14:textId="77777777" w:rsidR="001F6E41" w:rsidRPr="001F6E41" w:rsidRDefault="001F6E41" w:rsidP="00D51239">
      <w:pPr>
        <w:pStyle w:val="Heading3"/>
      </w:pPr>
      <w:bookmarkStart w:id="28" w:name="_Toc16493276"/>
      <w:r w:rsidRPr="001F6E41">
        <w:t>Exploiting natural resource endowments with environmental protection in mind</w:t>
      </w:r>
      <w:bookmarkEnd w:id="28"/>
    </w:p>
    <w:p w14:paraId="163BBB60" w14:textId="77777777" w:rsidR="001F6E41" w:rsidRPr="001F6E41" w:rsidRDefault="001F6E41" w:rsidP="001F6E41">
      <w:pPr>
        <w:jc w:val="both"/>
      </w:pPr>
    </w:p>
    <w:p w14:paraId="0C900D99" w14:textId="77777777" w:rsidR="001F6E41" w:rsidRPr="001F6E41" w:rsidRDefault="001F6E41" w:rsidP="001F6E41">
      <w:pPr>
        <w:jc w:val="both"/>
      </w:pPr>
      <w:r w:rsidRPr="001F6E41">
        <w:t xml:space="preserve">68% of households are currently engaged in subsistence agriculture. </w:t>
      </w:r>
      <w:r w:rsidRPr="001F6E41">
        <w:rPr>
          <w:b/>
          <w:bCs/>
        </w:rPr>
        <w:t>Commercialising agriculture</w:t>
      </w:r>
      <w:r w:rsidRPr="001F6E41">
        <w:t xml:space="preserve"> has the greatest potential for increasing household productivity and incomes for them, whilst addressing rural unemployment. Achieving inclusive growth will require modern farming practices, advanced agricultural inputs and technology, post-harvest storage and improved market access. Product value chains and agro-processing will facilitate agricultural commercialisation.</w:t>
      </w:r>
    </w:p>
    <w:p w14:paraId="0D665125" w14:textId="77777777" w:rsidR="001F6E41" w:rsidRPr="001F6E41" w:rsidRDefault="001F6E41" w:rsidP="001F6E41">
      <w:pPr>
        <w:jc w:val="both"/>
      </w:pPr>
    </w:p>
    <w:p w14:paraId="2943B283" w14:textId="77777777" w:rsidR="001F6E41" w:rsidRPr="001F6E41" w:rsidRDefault="001F6E41" w:rsidP="001F6E41">
      <w:pPr>
        <w:jc w:val="both"/>
      </w:pPr>
      <w:r w:rsidRPr="001F6E41">
        <w:rPr>
          <w:b/>
          <w:bCs/>
        </w:rPr>
        <w:t>Addressing climate change</w:t>
      </w:r>
      <w:r w:rsidRPr="001F6E41">
        <w:t xml:space="preserve"> is a matter of urgency, and so reforestation and restoration of wetlands will be encouraged through environmental laws and regulations. This will reduce the problems caused by deforestation and destruction of wetlands, such as water shortages, increased temperatures, severe and prolonged droughts, flooding, landslides and destructive winds. These efforts are complemented by bans on harmful materials, such as polythene bags.</w:t>
      </w:r>
    </w:p>
    <w:p w14:paraId="25241CAA" w14:textId="77777777" w:rsidR="001F6E41" w:rsidRPr="001F6E41" w:rsidRDefault="001F6E41" w:rsidP="001F6E41">
      <w:pPr>
        <w:jc w:val="both"/>
      </w:pPr>
    </w:p>
    <w:p w14:paraId="756C6DC3" w14:textId="77777777" w:rsidR="001F6E41" w:rsidRPr="001F6E41" w:rsidRDefault="001F6E41" w:rsidP="001F6E41">
      <w:pPr>
        <w:jc w:val="both"/>
      </w:pPr>
      <w:r w:rsidRPr="001F6E41">
        <w:rPr>
          <w:b/>
          <w:bCs/>
        </w:rPr>
        <w:t>Tourism</w:t>
      </w:r>
      <w:r w:rsidRPr="001F6E41">
        <w:t xml:space="preserve"> now ranks as the highest foreign exchange earning sector, with foreign receipts of US$ 1.02 billion in 2018 and 1.6 million international tourist arrivals. Legislation will be enacted to preserve cultural sites and monuments and deter illicit trafficking of wildlife and antiques. Tourist hubs and circuits will be developed and infrastructure improved to enable efficient access and adequate hospitality. World class skills will be developed in hospitality, conservation, travel management and catering.</w:t>
      </w:r>
    </w:p>
    <w:p w14:paraId="5BBBC108" w14:textId="77777777" w:rsidR="001F6E41" w:rsidRPr="001F6E41" w:rsidRDefault="001F6E41" w:rsidP="001F6E41">
      <w:pPr>
        <w:jc w:val="both"/>
      </w:pPr>
    </w:p>
    <w:p w14:paraId="4CE93F06" w14:textId="77777777" w:rsidR="001F6E41" w:rsidRPr="001F6E41" w:rsidRDefault="001F6E41" w:rsidP="001F6E41">
      <w:pPr>
        <w:jc w:val="both"/>
      </w:pPr>
      <w:r w:rsidRPr="001F6E41">
        <w:rPr>
          <w:b/>
          <w:bCs/>
        </w:rPr>
        <w:t>Mineral, oil and gas</w:t>
      </w:r>
      <w:r w:rsidRPr="001F6E41">
        <w:t xml:space="preserve"> extraction will build revenue whilst providing jobs to many Ugandans. Strategic actions will be taken to commercialise the sector, such as minimising speculation and hoarding of mineral licenses, enforcing regulations, geophysical mapping of Karamoja and provision of key road and energy infrastructure. Proceeds of extraction will be invested for both the current and future generations, and to this end a Petroleum Revenue Investment Advisory Committee has been appointed. Uganda has also joined the Extractive Industries Transparency Initiative (EITI).</w:t>
      </w:r>
    </w:p>
    <w:p w14:paraId="2B23B155" w14:textId="77777777" w:rsidR="001F6E41" w:rsidRPr="001F6E41" w:rsidRDefault="001F6E41" w:rsidP="001F6E41">
      <w:pPr>
        <w:jc w:val="both"/>
      </w:pPr>
    </w:p>
    <w:p w14:paraId="1356CFCA" w14:textId="77777777" w:rsidR="001F6E41" w:rsidRPr="001F6E41" w:rsidRDefault="001F6E41" w:rsidP="00D51239">
      <w:pPr>
        <w:pStyle w:val="Heading3"/>
      </w:pPr>
      <w:bookmarkStart w:id="29" w:name="_Toc16493277"/>
      <w:r w:rsidRPr="001F6E41">
        <w:t>Providing affordable financing for production and business</w:t>
      </w:r>
      <w:bookmarkEnd w:id="29"/>
    </w:p>
    <w:p w14:paraId="046E3DEC" w14:textId="77777777" w:rsidR="001F6E41" w:rsidRPr="001F6E41" w:rsidRDefault="001F6E41" w:rsidP="001F6E41">
      <w:pPr>
        <w:jc w:val="both"/>
      </w:pPr>
    </w:p>
    <w:p w14:paraId="144A296E" w14:textId="77777777" w:rsidR="001F6E41" w:rsidRPr="001F6E41" w:rsidRDefault="001F6E41" w:rsidP="001F6E41">
      <w:pPr>
        <w:jc w:val="both"/>
      </w:pPr>
      <w:r w:rsidRPr="001F6E41">
        <w:t>Access to affordable finance is an important catalyst for the growth of viable private sector enterprises. The Uganda Development Bank will be further capitalised and the Capital Markets Authority will facilitate access to long term domestic and foreign capital on the stock exchange. </w:t>
      </w:r>
    </w:p>
    <w:p w14:paraId="7C241841" w14:textId="77777777" w:rsidR="001F6E41" w:rsidRPr="001F6E41" w:rsidRDefault="001F6E41" w:rsidP="001F6E41">
      <w:pPr>
        <w:jc w:val="both"/>
      </w:pPr>
    </w:p>
    <w:p w14:paraId="0FC377C4" w14:textId="77777777" w:rsidR="001F6E41" w:rsidRPr="001F6E41" w:rsidRDefault="001F6E41" w:rsidP="001F6E41">
      <w:pPr>
        <w:jc w:val="both"/>
      </w:pPr>
      <w:r w:rsidRPr="001F6E41">
        <w:t>Financial sector reforms will reduce operational costs for commercial banks. The Uganda Microfinance Regulatory Authority is now fully operational which will enhance consumer and investor confidence in the microfinance industry.</w:t>
      </w:r>
    </w:p>
    <w:p w14:paraId="58D6614F" w14:textId="77777777" w:rsidR="001F6E41" w:rsidRPr="001F6E41" w:rsidRDefault="001F6E41" w:rsidP="001F6E41">
      <w:pPr>
        <w:jc w:val="both"/>
      </w:pPr>
    </w:p>
    <w:p w14:paraId="335FFC00" w14:textId="77777777" w:rsidR="001F6E41" w:rsidRPr="001F6E41" w:rsidRDefault="001F6E41" w:rsidP="001F6E41">
      <w:pPr>
        <w:jc w:val="both"/>
      </w:pPr>
      <w:r w:rsidRPr="001F6E41">
        <w:t>Special programmes to enhance access to credit for youth and women entrepreneurs will continue to be implemented alongside support for skills programmes. </w:t>
      </w:r>
    </w:p>
    <w:p w14:paraId="04535FD9" w14:textId="77777777" w:rsidR="001F6E41" w:rsidRPr="001F6E41" w:rsidRDefault="001F6E41" w:rsidP="001F6E41">
      <w:pPr>
        <w:jc w:val="both"/>
      </w:pPr>
    </w:p>
    <w:p w14:paraId="0D90C520" w14:textId="77777777" w:rsidR="001F6E41" w:rsidRPr="001F6E41" w:rsidRDefault="001F6E41" w:rsidP="001F6E41">
      <w:pPr>
        <w:jc w:val="both"/>
      </w:pPr>
      <w:r w:rsidRPr="001F6E41">
        <w:t>The Uganda Agriculture Insurance Scheme subsidises agricultural insurance premiums and should help attract affordable credit to agriculture.</w:t>
      </w:r>
    </w:p>
    <w:p w14:paraId="05E7266F" w14:textId="77777777" w:rsidR="001F6E41" w:rsidRPr="001F6E41" w:rsidRDefault="001F6E41" w:rsidP="001F6E41">
      <w:pPr>
        <w:jc w:val="both"/>
      </w:pPr>
    </w:p>
    <w:p w14:paraId="2BCB3F7D" w14:textId="1F30ECD4" w:rsidR="0040341D" w:rsidRPr="0040341D" w:rsidRDefault="0040341D" w:rsidP="0040341D">
      <w:pPr>
        <w:jc w:val="both"/>
      </w:pPr>
      <w:r w:rsidRPr="0040341D">
        <w:t>The Medium-Term Financial Sector Development Strategy has been developed to foster a sound financial sector supporting sustainable and inclusive economic growth.</w:t>
      </w:r>
    </w:p>
    <w:p w14:paraId="2F4F7687" w14:textId="77777777" w:rsidR="0040341D" w:rsidRPr="0040341D" w:rsidRDefault="0040341D" w:rsidP="0040341D">
      <w:pPr>
        <w:jc w:val="both"/>
      </w:pPr>
    </w:p>
    <w:p w14:paraId="1682E3E6" w14:textId="77777777" w:rsidR="0040341D" w:rsidRPr="0040341D" w:rsidRDefault="0040341D" w:rsidP="00D51239">
      <w:pPr>
        <w:pStyle w:val="Heading3"/>
      </w:pPr>
      <w:bookmarkStart w:id="30" w:name="_Toc16493278"/>
      <w:r w:rsidRPr="0040341D">
        <w:t>Enablers of the growth strategy</w:t>
      </w:r>
      <w:bookmarkEnd w:id="30"/>
    </w:p>
    <w:p w14:paraId="366DB3A4" w14:textId="77777777" w:rsidR="0040341D" w:rsidRPr="0040341D" w:rsidRDefault="0040341D" w:rsidP="0040341D">
      <w:pPr>
        <w:jc w:val="both"/>
      </w:pPr>
    </w:p>
    <w:p w14:paraId="29916030" w14:textId="77777777" w:rsidR="0040341D" w:rsidRPr="0040341D" w:rsidRDefault="0040341D" w:rsidP="0040341D">
      <w:pPr>
        <w:jc w:val="both"/>
      </w:pPr>
      <w:r w:rsidRPr="0040341D">
        <w:t>Effective implementation of the Economic Growth Strategy requires some preconditions to be in place, such as peace and security, good governance, an efficient judicial system and macroeconomic stability. Government will also strive to improve other enablers of economic growth, such as;</w:t>
      </w:r>
    </w:p>
    <w:p w14:paraId="4923E176" w14:textId="77777777" w:rsidR="0040341D" w:rsidRPr="0040341D" w:rsidRDefault="0040341D" w:rsidP="0040341D">
      <w:pPr>
        <w:jc w:val="both"/>
      </w:pPr>
    </w:p>
    <w:p w14:paraId="008D4569" w14:textId="77777777" w:rsidR="0040341D" w:rsidRPr="0040341D" w:rsidRDefault="0040341D" w:rsidP="0040341D">
      <w:pPr>
        <w:jc w:val="both"/>
      </w:pPr>
      <w:proofErr w:type="spellStart"/>
      <w:r w:rsidRPr="0040341D">
        <w:rPr>
          <w:i/>
          <w:iCs/>
        </w:rPr>
        <w:t>i</w:t>
      </w:r>
      <w:proofErr w:type="spellEnd"/>
      <w:r w:rsidRPr="0040341D">
        <w:rPr>
          <w:i/>
          <w:iCs/>
        </w:rPr>
        <w:t>) reliable, efficient and affordable electricity supply;</w:t>
      </w:r>
    </w:p>
    <w:p w14:paraId="46AC82F1" w14:textId="77777777" w:rsidR="0040341D" w:rsidRPr="0040341D" w:rsidRDefault="0040341D" w:rsidP="0040341D">
      <w:pPr>
        <w:jc w:val="both"/>
      </w:pPr>
      <w:r w:rsidRPr="0040341D">
        <w:rPr>
          <w:i/>
          <w:iCs/>
        </w:rPr>
        <w:t>ii) water, transport and communications infrastructure;</w:t>
      </w:r>
    </w:p>
    <w:p w14:paraId="6328416C" w14:textId="443DF1A0" w:rsidR="0040341D" w:rsidRPr="0040341D" w:rsidRDefault="0040341D" w:rsidP="0040341D">
      <w:pPr>
        <w:jc w:val="both"/>
      </w:pPr>
      <w:r w:rsidRPr="0040341D">
        <w:rPr>
          <w:i/>
          <w:iCs/>
        </w:rPr>
        <w:t>iii) a healthy, well-educated and skilled workforce; and</w:t>
      </w:r>
    </w:p>
    <w:p w14:paraId="1A62CACA" w14:textId="77777777" w:rsidR="0040341D" w:rsidRPr="0040341D" w:rsidRDefault="0040341D" w:rsidP="0040341D">
      <w:pPr>
        <w:jc w:val="both"/>
      </w:pPr>
      <w:r w:rsidRPr="0040341D">
        <w:rPr>
          <w:i/>
          <w:iCs/>
        </w:rPr>
        <w:t>iv) effective government machinery.</w:t>
      </w:r>
    </w:p>
    <w:p w14:paraId="5B0A7934" w14:textId="77777777" w:rsidR="0040341D" w:rsidRPr="0040341D" w:rsidRDefault="0040341D" w:rsidP="0040341D">
      <w:pPr>
        <w:jc w:val="both"/>
      </w:pPr>
    </w:p>
    <w:p w14:paraId="3BD8A738" w14:textId="77777777" w:rsidR="0040341D" w:rsidRPr="0040341D" w:rsidRDefault="0040341D" w:rsidP="0040341D">
      <w:pPr>
        <w:pStyle w:val="Heading2"/>
      </w:pPr>
      <w:bookmarkStart w:id="31" w:name="_Toc16493279"/>
      <w:r w:rsidRPr="0040341D">
        <w:t>Priority interventions for 2019/20</w:t>
      </w:r>
      <w:bookmarkEnd w:id="31"/>
    </w:p>
    <w:p w14:paraId="0193D555" w14:textId="77777777" w:rsidR="0040341D" w:rsidRPr="0040341D" w:rsidRDefault="0040341D" w:rsidP="0040341D">
      <w:pPr>
        <w:jc w:val="both"/>
      </w:pPr>
    </w:p>
    <w:p w14:paraId="1F6BC405" w14:textId="77777777" w:rsidR="0040341D" w:rsidRPr="0040341D" w:rsidRDefault="0040341D" w:rsidP="0040341D">
      <w:pPr>
        <w:jc w:val="both"/>
      </w:pPr>
      <w:r w:rsidRPr="0040341D">
        <w:t>The priority interventions for 2019/20 are focused in four areas:</w:t>
      </w:r>
    </w:p>
    <w:p w14:paraId="044BB8C1" w14:textId="77777777" w:rsidR="0040341D" w:rsidRPr="0040341D" w:rsidRDefault="0040341D" w:rsidP="0040341D">
      <w:pPr>
        <w:jc w:val="both"/>
      </w:pPr>
    </w:p>
    <w:p w14:paraId="67FB8749" w14:textId="77777777" w:rsidR="0040341D" w:rsidRPr="0040341D" w:rsidRDefault="0040341D" w:rsidP="0040341D">
      <w:pPr>
        <w:jc w:val="both"/>
      </w:pPr>
      <w:proofErr w:type="spellStart"/>
      <w:r w:rsidRPr="0040341D">
        <w:rPr>
          <w:i/>
          <w:iCs/>
        </w:rPr>
        <w:t>i</w:t>
      </w:r>
      <w:proofErr w:type="spellEnd"/>
      <w:r w:rsidRPr="0040341D">
        <w:rPr>
          <w:i/>
          <w:iCs/>
        </w:rPr>
        <w:t>) Enhancing key primary growth sectors;</w:t>
      </w:r>
    </w:p>
    <w:p w14:paraId="3781E26F" w14:textId="77777777" w:rsidR="0040341D" w:rsidRPr="0040341D" w:rsidRDefault="0040341D" w:rsidP="0040341D">
      <w:pPr>
        <w:jc w:val="both"/>
      </w:pPr>
      <w:r w:rsidRPr="0040341D">
        <w:rPr>
          <w:i/>
          <w:iCs/>
        </w:rPr>
        <w:t>ii) Increasing infrastructure access and reliability;</w:t>
      </w:r>
    </w:p>
    <w:p w14:paraId="0CD8957E" w14:textId="77777777" w:rsidR="0040341D" w:rsidRPr="0040341D" w:rsidRDefault="0040341D" w:rsidP="0040341D">
      <w:pPr>
        <w:jc w:val="both"/>
      </w:pPr>
      <w:r w:rsidRPr="0040341D">
        <w:rPr>
          <w:i/>
          <w:iCs/>
        </w:rPr>
        <w:t>iii) Human capital development; and</w:t>
      </w:r>
    </w:p>
    <w:p w14:paraId="6BEBBC17" w14:textId="77777777" w:rsidR="0040341D" w:rsidRPr="0040341D" w:rsidRDefault="0040341D" w:rsidP="0040341D">
      <w:pPr>
        <w:jc w:val="both"/>
      </w:pPr>
      <w:r w:rsidRPr="0040341D">
        <w:rPr>
          <w:i/>
          <w:iCs/>
        </w:rPr>
        <w:t>iv) Maintaining peace and security, and good governance.</w:t>
      </w:r>
    </w:p>
    <w:p w14:paraId="4D9BBCD5" w14:textId="77777777" w:rsidR="0040341D" w:rsidRPr="0040341D" w:rsidRDefault="0040341D" w:rsidP="0040341D">
      <w:pPr>
        <w:jc w:val="both"/>
      </w:pPr>
    </w:p>
    <w:p w14:paraId="6AA82898" w14:textId="77777777" w:rsidR="0040341D" w:rsidRPr="0040341D" w:rsidRDefault="0040341D" w:rsidP="00D51239">
      <w:pPr>
        <w:pStyle w:val="Heading3"/>
      </w:pPr>
      <w:bookmarkStart w:id="32" w:name="_Toc16493280"/>
      <w:r w:rsidRPr="0040341D">
        <w:t>Enhancing key primary growth sectors</w:t>
      </w:r>
      <w:bookmarkEnd w:id="32"/>
    </w:p>
    <w:p w14:paraId="502A3AAA" w14:textId="77777777" w:rsidR="0040341D" w:rsidRPr="0040341D" w:rsidRDefault="0040341D" w:rsidP="0040341D">
      <w:pPr>
        <w:jc w:val="both"/>
      </w:pPr>
    </w:p>
    <w:p w14:paraId="7F1977BA" w14:textId="77777777" w:rsidR="0040341D" w:rsidRPr="0040341D" w:rsidRDefault="0040341D" w:rsidP="0040341D">
      <w:pPr>
        <w:jc w:val="both"/>
      </w:pPr>
      <w:r w:rsidRPr="0040341D">
        <w:t xml:space="preserve">Key primary growth sectors include </w:t>
      </w:r>
      <w:r w:rsidRPr="0040341D">
        <w:rPr>
          <w:i/>
          <w:iCs/>
        </w:rPr>
        <w:t>industrialisation</w:t>
      </w:r>
      <w:r w:rsidRPr="0040341D">
        <w:t xml:space="preserve">, </w:t>
      </w:r>
      <w:r w:rsidRPr="0040341D">
        <w:rPr>
          <w:i/>
          <w:iCs/>
        </w:rPr>
        <w:t>commercialising agriculture</w:t>
      </w:r>
      <w:r w:rsidRPr="0040341D">
        <w:t xml:space="preserve">, </w:t>
      </w:r>
      <w:r w:rsidRPr="0040341D">
        <w:rPr>
          <w:i/>
          <w:iCs/>
        </w:rPr>
        <w:t>tourism development and promotion</w:t>
      </w:r>
      <w:r w:rsidRPr="0040341D">
        <w:t xml:space="preserve"> and </w:t>
      </w:r>
      <w:r w:rsidRPr="0040341D">
        <w:rPr>
          <w:i/>
          <w:iCs/>
        </w:rPr>
        <w:t>development and commercialisation of minerals, oil and gas</w:t>
      </w:r>
      <w:r w:rsidRPr="0040341D">
        <w:t>.</w:t>
      </w:r>
    </w:p>
    <w:p w14:paraId="0F1310F6" w14:textId="77777777" w:rsidR="0040341D" w:rsidRPr="0040341D" w:rsidRDefault="0040341D" w:rsidP="0040341D">
      <w:pPr>
        <w:jc w:val="both"/>
      </w:pPr>
    </w:p>
    <w:p w14:paraId="697E608A" w14:textId="77777777" w:rsidR="0040341D" w:rsidRPr="0040341D" w:rsidRDefault="0040341D" w:rsidP="0040341D">
      <w:pPr>
        <w:jc w:val="both"/>
      </w:pPr>
      <w:r w:rsidRPr="0040341D">
        <w:t xml:space="preserve">To support </w:t>
      </w:r>
      <w:r w:rsidRPr="0040341D">
        <w:rPr>
          <w:b/>
          <w:bCs/>
        </w:rPr>
        <w:t>industrialisation</w:t>
      </w:r>
      <w:r w:rsidRPr="0040341D">
        <w:t xml:space="preserve"> the budget has provided for electrification of industrial parks, the development of export infrastructure in export processing zones and industrial parks and science and technology innovation.</w:t>
      </w:r>
    </w:p>
    <w:p w14:paraId="304A90A9" w14:textId="77777777" w:rsidR="0040341D" w:rsidRPr="0040341D" w:rsidRDefault="0040341D" w:rsidP="0040341D">
      <w:pPr>
        <w:jc w:val="both"/>
      </w:pPr>
    </w:p>
    <w:p w14:paraId="379C66E8" w14:textId="77777777" w:rsidR="0040341D" w:rsidRPr="0040341D" w:rsidRDefault="0040341D" w:rsidP="0040341D">
      <w:pPr>
        <w:jc w:val="both"/>
      </w:pPr>
      <w:r w:rsidRPr="0040341D">
        <w:t xml:space="preserve">To support </w:t>
      </w:r>
      <w:r w:rsidRPr="0040341D">
        <w:rPr>
          <w:b/>
          <w:bCs/>
        </w:rPr>
        <w:t>commercialising agriculture</w:t>
      </w:r>
      <w:r w:rsidRPr="0040341D">
        <w:t xml:space="preserve"> storage and agro-processing facilities will be provided as well as provision of irrigation infrastructure. Product standards and certification will be improved and research and development undertaken into new crop varieties and pest and disease control. Regulations will be enforced to prevent overfishing.</w:t>
      </w:r>
    </w:p>
    <w:p w14:paraId="06249F03" w14:textId="77777777" w:rsidR="0040341D" w:rsidRPr="0040341D" w:rsidRDefault="0040341D" w:rsidP="0040341D">
      <w:pPr>
        <w:jc w:val="both"/>
      </w:pPr>
    </w:p>
    <w:p w14:paraId="45F4E991" w14:textId="77777777" w:rsidR="0040341D" w:rsidRPr="0040341D" w:rsidRDefault="0040341D" w:rsidP="0040341D">
      <w:pPr>
        <w:jc w:val="both"/>
      </w:pPr>
      <w:r w:rsidRPr="0040341D">
        <w:t xml:space="preserve">To support </w:t>
      </w:r>
      <w:r w:rsidRPr="0040341D">
        <w:rPr>
          <w:b/>
          <w:bCs/>
        </w:rPr>
        <w:t>tourism development and promotion</w:t>
      </w:r>
      <w:r w:rsidRPr="0040341D">
        <w:t xml:space="preserve"> Uganda will be marketed in South Asia and Europe. Product development will be undertaken, including identifying new tourist circuits and upgrading tourism infrastructure such as airfields, roads, electricity, internet and highway stopovers. Minimum investment thresholds for tax incentives will be reduced to encourage investment.</w:t>
      </w:r>
    </w:p>
    <w:p w14:paraId="5FB13159" w14:textId="77777777" w:rsidR="0040341D" w:rsidRPr="0040341D" w:rsidRDefault="0040341D" w:rsidP="0040341D">
      <w:pPr>
        <w:jc w:val="both"/>
      </w:pPr>
    </w:p>
    <w:p w14:paraId="622EB34E" w14:textId="77777777" w:rsidR="00D51239" w:rsidRPr="00D51239" w:rsidRDefault="00D51239" w:rsidP="00D51239">
      <w:pPr>
        <w:jc w:val="both"/>
      </w:pPr>
      <w:r w:rsidRPr="00D51239">
        <w:t xml:space="preserve">To support </w:t>
      </w:r>
      <w:r w:rsidRPr="00D51239">
        <w:rPr>
          <w:b/>
          <w:bCs/>
        </w:rPr>
        <w:t>development and commercialisation of minerals, oil and gas</w:t>
      </w:r>
      <w:r w:rsidRPr="00D51239">
        <w:t xml:space="preserve"> geophysical surveys will be undertaken in the Karamoja region. Mineral target areas will be explored and licensing rules and regulations will be reviewed to eliminate speculative and non-performing licenses. A new certified mineral </w:t>
      </w:r>
      <w:proofErr w:type="spellStart"/>
      <w:r w:rsidRPr="00D51239">
        <w:t>assy</w:t>
      </w:r>
      <w:proofErr w:type="spellEnd"/>
      <w:r w:rsidRPr="00D51239">
        <w:t xml:space="preserve"> laboratory will be established to test samples quickly and cheaply, whilst a Mineral Sector Strategy is developed.</w:t>
      </w:r>
    </w:p>
    <w:p w14:paraId="34A1A1A9" w14:textId="77777777" w:rsidR="00D51239" w:rsidRPr="00D51239" w:rsidRDefault="00D51239" w:rsidP="00D51239">
      <w:pPr>
        <w:jc w:val="both"/>
      </w:pPr>
    </w:p>
    <w:p w14:paraId="37C3A092" w14:textId="77777777" w:rsidR="00D51239" w:rsidRPr="00D51239" w:rsidRDefault="00D51239" w:rsidP="00D51239">
      <w:pPr>
        <w:pStyle w:val="Heading3"/>
      </w:pPr>
      <w:bookmarkStart w:id="33" w:name="_Toc16493281"/>
      <w:r w:rsidRPr="00D51239">
        <w:t>Increasing infrastructure access and reliability</w:t>
      </w:r>
      <w:bookmarkEnd w:id="33"/>
    </w:p>
    <w:p w14:paraId="66F3C226" w14:textId="77777777" w:rsidR="00D51239" w:rsidRPr="00D51239" w:rsidRDefault="00D51239" w:rsidP="00D51239">
      <w:pPr>
        <w:jc w:val="both"/>
      </w:pPr>
    </w:p>
    <w:p w14:paraId="306C2617" w14:textId="77777777" w:rsidR="00D51239" w:rsidRPr="00D51239" w:rsidRDefault="00D51239" w:rsidP="00D51239">
      <w:pPr>
        <w:jc w:val="both"/>
      </w:pPr>
      <w:r w:rsidRPr="00D51239">
        <w:t xml:space="preserve">Key infrastructure areas include </w:t>
      </w:r>
      <w:r w:rsidRPr="00D51239">
        <w:rPr>
          <w:i/>
          <w:iCs/>
        </w:rPr>
        <w:t>transport infrastructure</w:t>
      </w:r>
      <w:r w:rsidRPr="00D51239">
        <w:t xml:space="preserve">, </w:t>
      </w:r>
      <w:r w:rsidRPr="00D51239">
        <w:rPr>
          <w:i/>
          <w:iCs/>
        </w:rPr>
        <w:t>energy infrastructure</w:t>
      </w:r>
      <w:r w:rsidRPr="00D51239">
        <w:t xml:space="preserve">, and </w:t>
      </w:r>
      <w:r w:rsidRPr="00D51239">
        <w:rPr>
          <w:i/>
          <w:iCs/>
        </w:rPr>
        <w:t>information and communication technology</w:t>
      </w:r>
      <w:r w:rsidRPr="00D51239">
        <w:t>.</w:t>
      </w:r>
    </w:p>
    <w:p w14:paraId="3FFE049E" w14:textId="77777777" w:rsidR="00D51239" w:rsidRPr="00D51239" w:rsidRDefault="00D51239" w:rsidP="00D51239">
      <w:pPr>
        <w:jc w:val="both"/>
      </w:pPr>
    </w:p>
    <w:p w14:paraId="0F03E716" w14:textId="77777777" w:rsidR="00D51239" w:rsidRPr="00D51239" w:rsidRDefault="00D51239" w:rsidP="00D51239">
      <w:pPr>
        <w:jc w:val="both"/>
      </w:pPr>
      <w:r w:rsidRPr="00D51239">
        <w:t xml:space="preserve">To support </w:t>
      </w:r>
      <w:r w:rsidRPr="00D51239">
        <w:rPr>
          <w:b/>
          <w:bCs/>
        </w:rPr>
        <w:t>transport infrastructure</w:t>
      </w:r>
      <w:r w:rsidRPr="00D51239">
        <w:t xml:space="preserve"> oil roads and tourism roads have been provided for in the budget. Aerodromes, the national airport, water transport facilities and the meter gauge railway will all be rehabilitated. The purchase of two more regional aircraft has been prioritised for 2019/20.</w:t>
      </w:r>
    </w:p>
    <w:p w14:paraId="23C4E79F" w14:textId="77777777" w:rsidR="00D51239" w:rsidRPr="00D51239" w:rsidRDefault="00D51239" w:rsidP="00D51239">
      <w:pPr>
        <w:jc w:val="both"/>
      </w:pPr>
    </w:p>
    <w:p w14:paraId="53F6942E" w14:textId="77777777" w:rsidR="00D51239" w:rsidRPr="00D51239" w:rsidRDefault="00D51239" w:rsidP="00D51239">
      <w:pPr>
        <w:jc w:val="both"/>
      </w:pPr>
      <w:r w:rsidRPr="00D51239">
        <w:t xml:space="preserve">To support </w:t>
      </w:r>
      <w:r w:rsidRPr="00D51239">
        <w:rPr>
          <w:b/>
          <w:bCs/>
        </w:rPr>
        <w:t>energy infrastructure</w:t>
      </w:r>
      <w:r w:rsidRPr="00D51239">
        <w:t xml:space="preserve"> more hydropower projects will be developed. Distribution concessions will be renegotiated and the Electricity Connection Policy will continue to subsidise the cost of electricity connections. The use of renewable energy, such as solar for rural homes and the national grid will be implemented.</w:t>
      </w:r>
    </w:p>
    <w:p w14:paraId="359F8540" w14:textId="77777777" w:rsidR="00D51239" w:rsidRPr="00D51239" w:rsidRDefault="00D51239" w:rsidP="00D51239">
      <w:pPr>
        <w:jc w:val="both"/>
      </w:pPr>
    </w:p>
    <w:p w14:paraId="43C7A83D" w14:textId="77777777" w:rsidR="00D51239" w:rsidRPr="00D51239" w:rsidRDefault="00D51239" w:rsidP="00D51239">
      <w:pPr>
        <w:jc w:val="both"/>
      </w:pPr>
      <w:r w:rsidRPr="00D51239">
        <w:t xml:space="preserve">To support </w:t>
      </w:r>
      <w:r w:rsidRPr="00D51239">
        <w:rPr>
          <w:b/>
          <w:bCs/>
        </w:rPr>
        <w:t>information and communication technology</w:t>
      </w:r>
      <w:r w:rsidRPr="00D51239">
        <w:t xml:space="preserve"> the National Backbone Infrastructure for ICT will be extended to cover all districts. Internet costs will be reduced through the implementation of the new National Broadband Policy.</w:t>
      </w:r>
    </w:p>
    <w:p w14:paraId="5D8E0AA5" w14:textId="77777777" w:rsidR="00D51239" w:rsidRPr="00D51239" w:rsidRDefault="00D51239" w:rsidP="00D51239">
      <w:pPr>
        <w:jc w:val="both"/>
      </w:pPr>
    </w:p>
    <w:p w14:paraId="2D3B37A8" w14:textId="0E139EDF" w:rsidR="00D51239" w:rsidRPr="00D51239" w:rsidRDefault="00D51239" w:rsidP="00D51239">
      <w:pPr>
        <w:pStyle w:val="Heading3"/>
      </w:pPr>
      <w:bookmarkStart w:id="34" w:name="_Toc16493282"/>
      <w:r w:rsidRPr="00D51239">
        <w:t>A healthy, well-educated and skilled workforce</w:t>
      </w:r>
      <w:bookmarkEnd w:id="34"/>
    </w:p>
    <w:p w14:paraId="53D2E818" w14:textId="77777777" w:rsidR="00D51239" w:rsidRPr="00D51239" w:rsidRDefault="00D51239" w:rsidP="00D51239">
      <w:pPr>
        <w:jc w:val="both"/>
      </w:pPr>
    </w:p>
    <w:p w14:paraId="5D1EC62C" w14:textId="77777777" w:rsidR="00D51239" w:rsidRPr="00D51239" w:rsidRDefault="00D51239" w:rsidP="00D51239">
      <w:pPr>
        <w:jc w:val="both"/>
      </w:pPr>
      <w:r w:rsidRPr="00D51239">
        <w:lastRenderedPageBreak/>
        <w:t xml:space="preserve">Key human capital development areas include </w:t>
      </w:r>
      <w:r w:rsidRPr="00D51239">
        <w:rPr>
          <w:i/>
          <w:iCs/>
        </w:rPr>
        <w:t>education, skills training and sports</w:t>
      </w:r>
      <w:r w:rsidRPr="00D51239">
        <w:t xml:space="preserve">, </w:t>
      </w:r>
      <w:r w:rsidRPr="00D51239">
        <w:rPr>
          <w:i/>
          <w:iCs/>
        </w:rPr>
        <w:t>health</w:t>
      </w:r>
      <w:r w:rsidRPr="00D51239">
        <w:t xml:space="preserve">, </w:t>
      </w:r>
      <w:r w:rsidRPr="00D51239">
        <w:rPr>
          <w:i/>
          <w:iCs/>
        </w:rPr>
        <w:t>nutrition</w:t>
      </w:r>
      <w:r w:rsidRPr="00D51239">
        <w:t xml:space="preserve"> and </w:t>
      </w:r>
      <w:r w:rsidRPr="00D51239">
        <w:rPr>
          <w:i/>
          <w:iCs/>
        </w:rPr>
        <w:t>safe water and sanitation</w:t>
      </w:r>
      <w:r w:rsidRPr="00D51239">
        <w:t>.</w:t>
      </w:r>
    </w:p>
    <w:p w14:paraId="00A55D94" w14:textId="77777777" w:rsidR="00D51239" w:rsidRPr="00D51239" w:rsidRDefault="00D51239" w:rsidP="00D51239">
      <w:pPr>
        <w:jc w:val="both"/>
      </w:pPr>
    </w:p>
    <w:p w14:paraId="6303B734" w14:textId="77777777" w:rsidR="00D51239" w:rsidRPr="00D51239" w:rsidRDefault="00D51239" w:rsidP="00D51239">
      <w:pPr>
        <w:jc w:val="both"/>
      </w:pPr>
      <w:r w:rsidRPr="00D51239">
        <w:t xml:space="preserve">To support </w:t>
      </w:r>
      <w:r w:rsidRPr="00D51239">
        <w:rPr>
          <w:b/>
          <w:bCs/>
        </w:rPr>
        <w:t>education</w:t>
      </w:r>
      <w:r w:rsidRPr="00D51239">
        <w:t xml:space="preserve"> instructional practice will be improved, particularly for early grades. Teacher monitoring and inspection will be improved with fingerprint readers to combat absenteeism. School management and learning conditions will be enhanced, including offices, water and sanitation facilities and teacher housing. Minimum standards on teacher numbers, instructional materials, classrooms and sanitary facilities will be established. Seed secondary schools and technical institutions will be provided with adequate staff and materials.</w:t>
      </w:r>
    </w:p>
    <w:p w14:paraId="209827D3" w14:textId="77777777" w:rsidR="00D51239" w:rsidRPr="00D51239" w:rsidRDefault="00D51239" w:rsidP="00D51239">
      <w:pPr>
        <w:jc w:val="both"/>
      </w:pPr>
    </w:p>
    <w:p w14:paraId="083C981B" w14:textId="77777777" w:rsidR="00D51239" w:rsidRPr="00D51239" w:rsidRDefault="00D51239" w:rsidP="00D51239">
      <w:pPr>
        <w:jc w:val="both"/>
      </w:pPr>
      <w:r w:rsidRPr="00D51239">
        <w:t xml:space="preserve">To support </w:t>
      </w:r>
      <w:r w:rsidRPr="00D51239">
        <w:rPr>
          <w:b/>
          <w:bCs/>
        </w:rPr>
        <w:t>health</w:t>
      </w:r>
      <w:r w:rsidRPr="00D51239">
        <w:t xml:space="preserve"> additional resources will be provided to upgrade 124 health centres. The health referral system will be streamlined to reduce pressure on Mulago National Referral Hospital. Staff houses and maternity wards will be constructed in 81 health centres. The supply of medicines and health supplies will be improved as will human resources, through additional training.</w:t>
      </w:r>
    </w:p>
    <w:p w14:paraId="3709587D" w14:textId="77777777" w:rsidR="00D51239" w:rsidRPr="00D51239" w:rsidRDefault="00D51239" w:rsidP="00D51239">
      <w:r w:rsidRPr="00D51239">
        <w:br/>
        <w:t xml:space="preserve">To support </w:t>
      </w:r>
      <w:r w:rsidRPr="00D51239">
        <w:rPr>
          <w:b/>
          <w:bCs/>
        </w:rPr>
        <w:t>nutrition</w:t>
      </w:r>
      <w:r w:rsidRPr="00D51239">
        <w:t xml:space="preserve"> government will ensure industrial food fortification for major staples consumed in public institutions such as schools, hospitals and the country’s security forces. To this end small scale millers will be supported with appropriate technologies for food fortification. Schools will be required to maintain vegetable gardens for educational purposes and as a source of vital nutrients, whilst nutritional education is revitalised.</w:t>
      </w:r>
    </w:p>
    <w:p w14:paraId="7C947C2A" w14:textId="77777777" w:rsidR="00D51239" w:rsidRPr="00D51239" w:rsidRDefault="00D51239" w:rsidP="00D51239">
      <w:pPr>
        <w:jc w:val="both"/>
      </w:pPr>
    </w:p>
    <w:p w14:paraId="676C3F68" w14:textId="77777777" w:rsidR="00D51239" w:rsidRPr="00D51239" w:rsidRDefault="00D51239" w:rsidP="00D51239">
      <w:pPr>
        <w:jc w:val="both"/>
      </w:pPr>
      <w:r w:rsidRPr="00D51239">
        <w:t xml:space="preserve">To support </w:t>
      </w:r>
      <w:r w:rsidRPr="00D51239">
        <w:rPr>
          <w:b/>
          <w:bCs/>
        </w:rPr>
        <w:t>safe water and sanitation</w:t>
      </w:r>
      <w:r w:rsidRPr="00D51239">
        <w:t xml:space="preserve"> the budget has provided for improving water availability for production, access to safe water in rural communities and access to safe water in urban areas.</w:t>
      </w:r>
    </w:p>
    <w:p w14:paraId="3EC96534" w14:textId="77777777" w:rsidR="00D51239" w:rsidRPr="00D51239" w:rsidRDefault="00D51239" w:rsidP="00D51239">
      <w:pPr>
        <w:jc w:val="both"/>
      </w:pPr>
    </w:p>
    <w:p w14:paraId="4F3C4F5C" w14:textId="77777777" w:rsidR="00D51239" w:rsidRPr="00D51239" w:rsidRDefault="00D51239" w:rsidP="00D51239">
      <w:pPr>
        <w:pStyle w:val="Heading3"/>
      </w:pPr>
      <w:bookmarkStart w:id="35" w:name="_Toc16493283"/>
      <w:r w:rsidRPr="00D51239">
        <w:t>Maintaining peace and security, and good governance</w:t>
      </w:r>
      <w:bookmarkEnd w:id="35"/>
    </w:p>
    <w:p w14:paraId="57BD6399" w14:textId="77777777" w:rsidR="00D51239" w:rsidRPr="00D51239" w:rsidRDefault="00D51239" w:rsidP="00D51239">
      <w:pPr>
        <w:jc w:val="both"/>
      </w:pPr>
    </w:p>
    <w:p w14:paraId="17A2C2FF" w14:textId="77777777" w:rsidR="00D51239" w:rsidRPr="00D51239" w:rsidRDefault="00D51239" w:rsidP="00D51239">
      <w:pPr>
        <w:jc w:val="both"/>
      </w:pPr>
      <w:r w:rsidRPr="00D51239">
        <w:t xml:space="preserve">To maintain </w:t>
      </w:r>
      <w:r w:rsidRPr="00D51239">
        <w:rPr>
          <w:b/>
          <w:bCs/>
        </w:rPr>
        <w:t>peace, security, and good governance</w:t>
      </w:r>
      <w:r w:rsidRPr="00D51239">
        <w:t xml:space="preserve"> government will continue to professionalise the UPDF and strengthen anti-corruption institutions. Efficiency in the justice system will be enhanced by automation of case management and other measures. Construction of the supreme court will commence, and pay will be increased for judiciary staff. CCTV will be rolled out in urban centres as will electronic gates and kiosks at major border points. Prison congestion will be reduced through the National Community service programme. The Electoral Roadmap will be implemented to support the 2021 general election.</w:t>
      </w:r>
    </w:p>
    <w:p w14:paraId="5A1F5F04" w14:textId="77777777" w:rsidR="00D51239" w:rsidRPr="00D51239" w:rsidRDefault="00D51239" w:rsidP="00D51239">
      <w:pPr>
        <w:jc w:val="both"/>
      </w:pPr>
    </w:p>
    <w:p w14:paraId="008D0701" w14:textId="77777777" w:rsidR="00D51239" w:rsidRPr="00D51239" w:rsidRDefault="00D51239" w:rsidP="00D51239">
      <w:pPr>
        <w:jc w:val="both"/>
      </w:pPr>
      <w:r w:rsidRPr="00D51239">
        <w:t xml:space="preserve">To improve </w:t>
      </w:r>
      <w:r w:rsidRPr="00D51239">
        <w:rPr>
          <w:b/>
          <w:bCs/>
        </w:rPr>
        <w:t>public investment management</w:t>
      </w:r>
      <w:r w:rsidRPr="00D51239">
        <w:t xml:space="preserve"> government will require all projects under preparation to adhere to the Public Investment Management System to ensure they are viable. The integrated Bank of Projects system will be rolled out and government will prioritise allocations to ongoing projects to ensure their completion.</w:t>
      </w:r>
    </w:p>
    <w:p w14:paraId="3D527014" w14:textId="77777777" w:rsidR="00D51239" w:rsidRPr="00D51239" w:rsidRDefault="00D51239" w:rsidP="00D51239">
      <w:pPr>
        <w:jc w:val="both"/>
      </w:pPr>
    </w:p>
    <w:p w14:paraId="1EA28A62" w14:textId="77777777" w:rsidR="00D51239" w:rsidRPr="00D51239" w:rsidRDefault="00D51239" w:rsidP="00D51239">
      <w:pPr>
        <w:jc w:val="both"/>
      </w:pPr>
      <w:r w:rsidRPr="00D51239">
        <w:t xml:space="preserve">To improve </w:t>
      </w:r>
      <w:r w:rsidRPr="00D51239">
        <w:rPr>
          <w:b/>
          <w:bCs/>
        </w:rPr>
        <w:t>public sector effectiveness</w:t>
      </w:r>
      <w:r w:rsidRPr="00D51239">
        <w:t xml:space="preserve"> government will introduce the Electronic Government Procurement System as well as launching the Resource Enhancement and Accountability Programme. Government will improve its asset management whilst completing the rollout of the Integrated Financial Management System, Treasury Single Account Framework and the e-cash solution to all government departments.</w:t>
      </w:r>
    </w:p>
    <w:p w14:paraId="5CA38BBF" w14:textId="77777777" w:rsidR="00D51239" w:rsidRPr="00D51239" w:rsidRDefault="00D51239" w:rsidP="00D51239">
      <w:pPr>
        <w:jc w:val="both"/>
      </w:pPr>
    </w:p>
    <w:p w14:paraId="0934F66E" w14:textId="77777777" w:rsidR="00D51239" w:rsidRPr="00D51239" w:rsidRDefault="00D51239" w:rsidP="00D51239">
      <w:pPr>
        <w:pStyle w:val="Heading3"/>
      </w:pPr>
      <w:bookmarkStart w:id="36" w:name="_Toc16493284"/>
      <w:r w:rsidRPr="00D51239">
        <w:t>Financing</w:t>
      </w:r>
      <w:bookmarkEnd w:id="36"/>
    </w:p>
    <w:p w14:paraId="4FDE9DD8" w14:textId="77777777" w:rsidR="00D51239" w:rsidRPr="00D51239" w:rsidRDefault="00D51239" w:rsidP="00D51239">
      <w:pPr>
        <w:jc w:val="both"/>
      </w:pPr>
    </w:p>
    <w:p w14:paraId="2A5A570A" w14:textId="582F6E64" w:rsidR="00D51239" w:rsidRPr="00D51239" w:rsidRDefault="00D51239" w:rsidP="00D51239">
      <w:pPr>
        <w:jc w:val="both"/>
      </w:pPr>
      <w:r w:rsidRPr="00D51239">
        <w:lastRenderedPageBreak/>
        <w:t>The Domestic Revenue Mobilisation Strategy will strengthen tax administration and restore public confidence in the tax system. The strategy aims to raise the revenue to GDP ratio to 18% over a five-year period. In 2019/20 the revenue target, including appropriation in aid, is 16.8% of GDP. Modest adjustments have been made to tax legislation and the Uganda Revenue Authority are strengthening their capacity to effectively collect taxes.</w:t>
      </w:r>
    </w:p>
    <w:p w14:paraId="66C9DFDD" w14:textId="77777777" w:rsidR="00D51239" w:rsidRPr="00D51239" w:rsidRDefault="00D51239" w:rsidP="00D51239">
      <w:pPr>
        <w:jc w:val="both"/>
      </w:pPr>
    </w:p>
    <w:p w14:paraId="17A3FE1B" w14:textId="64978F33" w:rsidR="00D26971" w:rsidRDefault="00D26971">
      <w:r>
        <w:br w:type="page"/>
      </w:r>
    </w:p>
    <w:p w14:paraId="2C44B6EA" w14:textId="1E8838E0" w:rsidR="00D26971" w:rsidRDefault="00D26971" w:rsidP="00D26971">
      <w:pPr>
        <w:pStyle w:val="Heading1"/>
        <w:rPr>
          <w:lang w:eastAsia="en-GB"/>
        </w:rPr>
      </w:pPr>
      <w:bookmarkStart w:id="37" w:name="_Toc16493285"/>
      <w:r>
        <w:rPr>
          <w:lang w:eastAsia="en-GB"/>
        </w:rPr>
        <w:lastRenderedPageBreak/>
        <w:t>Conclusion</w:t>
      </w:r>
      <w:bookmarkEnd w:id="37"/>
    </w:p>
    <w:p w14:paraId="255D77F6" w14:textId="6AFABE1E" w:rsidR="00D51239" w:rsidRDefault="00D51239" w:rsidP="00D51239">
      <w:pPr>
        <w:jc w:val="both"/>
      </w:pPr>
    </w:p>
    <w:p w14:paraId="305C6F73" w14:textId="166AE2F1" w:rsidR="00D26971" w:rsidRDefault="003D4A90" w:rsidP="00D51239">
      <w:pPr>
        <w:jc w:val="both"/>
        <w:rPr>
          <w:lang w:val="en-US"/>
        </w:rPr>
      </w:pPr>
      <w:r w:rsidRPr="002302D5">
        <w:rPr>
          <w:lang w:val="en-US"/>
        </w:rPr>
        <w:t>The economy expanded by 6.1</w:t>
      </w:r>
      <w:r>
        <w:rPr>
          <w:lang w:val="en-US"/>
        </w:rPr>
        <w:t>%</w:t>
      </w:r>
      <w:r w:rsidRPr="002302D5">
        <w:rPr>
          <w:lang w:val="en-US"/>
        </w:rPr>
        <w:t xml:space="preserve"> in 2018/19, a slight reduction from 6.2</w:t>
      </w:r>
      <w:r>
        <w:rPr>
          <w:lang w:val="en-US"/>
        </w:rPr>
        <w:t>%</w:t>
      </w:r>
      <w:r w:rsidRPr="002302D5">
        <w:rPr>
          <w:lang w:val="en-US"/>
        </w:rPr>
        <w:t xml:space="preserve"> registered in 2017/18. This performance however reflects a rebound in economic activity since 2017/18.</w:t>
      </w:r>
    </w:p>
    <w:p w14:paraId="2E673D33" w14:textId="195EE056" w:rsidR="003D4A90" w:rsidRDefault="003D4A90" w:rsidP="00D51239">
      <w:pPr>
        <w:jc w:val="both"/>
        <w:rPr>
          <w:lang w:val="en-US"/>
        </w:rPr>
      </w:pPr>
    </w:p>
    <w:p w14:paraId="67D10F38" w14:textId="3D14F6B0" w:rsidR="003D4A90" w:rsidRDefault="003D4A90" w:rsidP="00D51239">
      <w:pPr>
        <w:jc w:val="both"/>
        <w:rPr>
          <w:lang w:val="en-US"/>
        </w:rPr>
      </w:pPr>
      <w:r>
        <w:rPr>
          <w:lang w:val="en-US"/>
        </w:rPr>
        <w:t>Uganda’s growth has been similar to its EAC partners in 2018, having recovered from much slower relative growth in both 2016 and 2017.</w:t>
      </w:r>
    </w:p>
    <w:p w14:paraId="6848948D" w14:textId="4377E487" w:rsidR="00AB5933" w:rsidRDefault="00AB5933" w:rsidP="00D51239">
      <w:pPr>
        <w:jc w:val="both"/>
        <w:rPr>
          <w:lang w:val="en-US"/>
        </w:rPr>
      </w:pPr>
    </w:p>
    <w:p w14:paraId="6986D9D2" w14:textId="5AE3053B" w:rsidR="00AB5933" w:rsidRDefault="0033634B" w:rsidP="00D51239">
      <w:pPr>
        <w:jc w:val="both"/>
        <w:rPr>
          <w:lang w:val="en-US"/>
        </w:rPr>
      </w:pPr>
      <w:r>
        <w:rPr>
          <w:lang w:val="en-US"/>
        </w:rPr>
        <w:t>Growth was supported by strong growth in both industr</w:t>
      </w:r>
      <w:r w:rsidR="00804C6E">
        <w:rPr>
          <w:lang w:val="en-US"/>
        </w:rPr>
        <w:t>y</w:t>
      </w:r>
      <w:r>
        <w:rPr>
          <w:lang w:val="en-US"/>
        </w:rPr>
        <w:t xml:space="preserve"> </w:t>
      </w:r>
      <w:r w:rsidR="00804C6E">
        <w:rPr>
          <w:lang w:val="en-US"/>
        </w:rPr>
        <w:t>and services, growing at 7.2% and 5.8% respectively in 2017/18.</w:t>
      </w:r>
    </w:p>
    <w:p w14:paraId="234D8788" w14:textId="705524C0" w:rsidR="00804C6E" w:rsidRDefault="00804C6E" w:rsidP="00D51239">
      <w:pPr>
        <w:jc w:val="both"/>
        <w:rPr>
          <w:lang w:val="en-US"/>
        </w:rPr>
      </w:pPr>
    </w:p>
    <w:p w14:paraId="0D6FCA5F" w14:textId="1427024C" w:rsidR="00804C6E" w:rsidRDefault="009C2BA6" w:rsidP="00D51239">
      <w:pPr>
        <w:jc w:val="both"/>
        <w:rPr>
          <w:lang w:val="en-US"/>
        </w:rPr>
      </w:pPr>
      <w:r>
        <w:rPr>
          <w:lang w:val="en-US"/>
        </w:rPr>
        <w:t>Indicators such as the Economic Complexity Index show that Uganda has good potential to grow over the next ten years. This is because it can soon develop many new industries based on the knowledge and experience obtained over the last few years.</w:t>
      </w:r>
    </w:p>
    <w:p w14:paraId="378FCAF1" w14:textId="22695545" w:rsidR="009C2BA6" w:rsidRDefault="009C2BA6" w:rsidP="00D51239">
      <w:pPr>
        <w:jc w:val="both"/>
        <w:rPr>
          <w:lang w:val="en-US"/>
        </w:rPr>
      </w:pPr>
    </w:p>
    <w:p w14:paraId="3DF90A1D" w14:textId="3499FFFD" w:rsidR="009C2BA6" w:rsidRDefault="00DC3C9B" w:rsidP="00D51239">
      <w:pPr>
        <w:jc w:val="both"/>
        <w:rPr>
          <w:lang w:val="en-US"/>
        </w:rPr>
      </w:pPr>
      <w:r>
        <w:rPr>
          <w:lang w:val="en-US"/>
        </w:rPr>
        <w:t xml:space="preserve">Uganda also faces impediments to growth. In the latest household survey poverty rates have increased and the Gini coefficient worsened. </w:t>
      </w:r>
      <w:r w:rsidR="001E371A">
        <w:rPr>
          <w:lang w:val="en-US"/>
        </w:rPr>
        <w:t xml:space="preserve">Per capita income levels are also growing slowly </w:t>
      </w:r>
      <w:r w:rsidR="001A7DB7">
        <w:rPr>
          <w:lang w:val="en-US"/>
        </w:rPr>
        <w:t>as GDP growth is only just outpacing population growth.</w:t>
      </w:r>
      <w:r w:rsidR="00E309DB">
        <w:rPr>
          <w:lang w:val="en-US"/>
        </w:rPr>
        <w:t xml:space="preserve"> There has also been a decrease in </w:t>
      </w:r>
      <w:r w:rsidR="00747C95">
        <w:rPr>
          <w:lang w:val="en-US"/>
        </w:rPr>
        <w:t>national investment as a proportion of GDP</w:t>
      </w:r>
      <w:r w:rsidR="00C50ED6">
        <w:rPr>
          <w:lang w:val="en-US"/>
        </w:rPr>
        <w:t xml:space="preserve"> in the past 5 years which may be retarding growth.</w:t>
      </w:r>
    </w:p>
    <w:p w14:paraId="12FE5B5D" w14:textId="4303B914" w:rsidR="00C50ED6" w:rsidRDefault="00C50ED6" w:rsidP="00D51239">
      <w:pPr>
        <w:jc w:val="both"/>
        <w:rPr>
          <w:lang w:val="en-US"/>
        </w:rPr>
      </w:pPr>
    </w:p>
    <w:p w14:paraId="00E01A3F" w14:textId="6DC302FC" w:rsidR="00C50ED6" w:rsidRDefault="00FE2A03" w:rsidP="00D51239">
      <w:pPr>
        <w:jc w:val="both"/>
        <w:rPr>
          <w:lang w:val="en-US"/>
        </w:rPr>
      </w:pPr>
      <w:r>
        <w:rPr>
          <w:lang w:val="en-US"/>
        </w:rPr>
        <w:t>Government has a growth strategy in place</w:t>
      </w:r>
      <w:r w:rsidR="007F0F61">
        <w:rPr>
          <w:lang w:val="en-US"/>
        </w:rPr>
        <w:t xml:space="preserve">. </w:t>
      </w:r>
      <w:r w:rsidR="00C17A20">
        <w:rPr>
          <w:lang w:val="en-US"/>
        </w:rPr>
        <w:t xml:space="preserve">It will focus on expanding the industrial base, </w:t>
      </w:r>
      <w:proofErr w:type="spellStart"/>
      <w:r w:rsidR="00C17A20">
        <w:rPr>
          <w:lang w:val="en-US"/>
        </w:rPr>
        <w:t>utilising</w:t>
      </w:r>
      <w:proofErr w:type="spellEnd"/>
      <w:r w:rsidR="00C17A20">
        <w:rPr>
          <w:lang w:val="en-US"/>
        </w:rPr>
        <w:t xml:space="preserve"> natural resources in an environmentally conscious way and providing affordable financing for production and business.</w:t>
      </w:r>
    </w:p>
    <w:p w14:paraId="6D567DE6" w14:textId="2A28C03D" w:rsidR="00C17A20" w:rsidRDefault="00C17A20" w:rsidP="00D51239">
      <w:pPr>
        <w:jc w:val="both"/>
        <w:rPr>
          <w:lang w:val="en-US"/>
        </w:rPr>
      </w:pPr>
    </w:p>
    <w:p w14:paraId="7863BC59" w14:textId="35B9D812" w:rsidR="00C17A20" w:rsidRDefault="00C17A20" w:rsidP="00D51239">
      <w:pPr>
        <w:jc w:val="both"/>
        <w:rPr>
          <w:lang w:val="en-US"/>
        </w:rPr>
      </w:pPr>
      <w:r>
        <w:rPr>
          <w:lang w:val="en-US"/>
        </w:rPr>
        <w:t xml:space="preserve">In 2019/20 the focus will be on </w:t>
      </w:r>
      <w:r w:rsidR="00B12439">
        <w:rPr>
          <w:lang w:val="en-US"/>
        </w:rPr>
        <w:t>enhancing key growth sectors such as industry, agriculture, tourism and oil; increasing infrastructure access and reliability; human capital development; and maintaining peace, security and good governance.</w:t>
      </w:r>
    </w:p>
    <w:p w14:paraId="66928F56" w14:textId="1F91C417" w:rsidR="003D4A90" w:rsidRDefault="003D4A90" w:rsidP="00D51239">
      <w:pPr>
        <w:jc w:val="both"/>
        <w:rPr>
          <w:lang w:val="en-US"/>
        </w:rPr>
      </w:pPr>
    </w:p>
    <w:p w14:paraId="361C64C6" w14:textId="77777777" w:rsidR="003D4A90" w:rsidRPr="00D51239" w:rsidRDefault="003D4A90" w:rsidP="00D51239">
      <w:pPr>
        <w:jc w:val="both"/>
      </w:pPr>
    </w:p>
    <w:p w14:paraId="79B39DD7" w14:textId="77777777" w:rsidR="00480F4E" w:rsidRPr="00480F4E" w:rsidRDefault="00480F4E" w:rsidP="000E2A78">
      <w:pPr>
        <w:jc w:val="both"/>
      </w:pPr>
    </w:p>
    <w:p w14:paraId="15435567" w14:textId="0C663CEF" w:rsidR="007B641F" w:rsidRDefault="007B641F" w:rsidP="001055C7">
      <w:pPr>
        <w:jc w:val="both"/>
      </w:pPr>
    </w:p>
    <w:p w14:paraId="493C5E16" w14:textId="77777777" w:rsidR="007B641F" w:rsidRDefault="007B641F">
      <w:r>
        <w:br w:type="page"/>
      </w:r>
    </w:p>
    <w:p w14:paraId="704E7187" w14:textId="162FA453" w:rsidR="002F7D14" w:rsidRPr="00824F86" w:rsidRDefault="00643D53" w:rsidP="001055C7">
      <w:pPr>
        <w:jc w:val="both"/>
      </w:pPr>
      <w:r w:rsidRPr="00A92B1E">
        <w:rPr>
          <w:rFonts w:ascii="Calibri" w:eastAsia="Calibri" w:hAnsi="Calibri"/>
          <w:noProof/>
        </w:rPr>
        <w:lastRenderedPageBreak/>
        <w:drawing>
          <wp:anchor distT="0" distB="0" distL="114300" distR="114300" simplePos="0" relativeHeight="251664384" behindDoc="0" locked="0" layoutInCell="1" allowOverlap="1" wp14:anchorId="3CBFB502" wp14:editId="55B0484E">
            <wp:simplePos x="0" y="0"/>
            <wp:positionH relativeFrom="margin">
              <wp:align>center</wp:align>
            </wp:positionH>
            <wp:positionV relativeFrom="paragraph">
              <wp:posOffset>0</wp:posOffset>
            </wp:positionV>
            <wp:extent cx="3582670" cy="3217653"/>
            <wp:effectExtent l="0" t="0" r="0" b="0"/>
            <wp:wrapSquare wrapText="bothSides"/>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582670" cy="3217653"/>
                    </a:xfrm>
                    <a:prstGeom prst="rect">
                      <a:avLst/>
                    </a:prstGeom>
                  </pic:spPr>
                </pic:pic>
              </a:graphicData>
            </a:graphic>
            <wp14:sizeRelH relativeFrom="page">
              <wp14:pctWidth>0</wp14:pctWidth>
            </wp14:sizeRelH>
            <wp14:sizeRelV relativeFrom="page">
              <wp14:pctHeight>0</wp14:pctHeight>
            </wp14:sizeRelV>
          </wp:anchor>
        </w:drawing>
      </w:r>
      <w:r w:rsidR="007B641F">
        <w:rPr>
          <w:noProof/>
          <w:lang w:val="en-US" w:eastAsia="en-US"/>
        </w:rPr>
        <mc:AlternateContent>
          <mc:Choice Requires="wps">
            <w:drawing>
              <wp:anchor distT="0" distB="0" distL="114300" distR="114300" simplePos="0" relativeHeight="251663360" behindDoc="0" locked="0" layoutInCell="1" allowOverlap="1" wp14:anchorId="1B593AC7" wp14:editId="4930A422">
                <wp:simplePos x="0" y="0"/>
                <wp:positionH relativeFrom="page">
                  <wp:posOffset>0</wp:posOffset>
                </wp:positionH>
                <wp:positionV relativeFrom="page">
                  <wp:posOffset>7968615</wp:posOffset>
                </wp:positionV>
                <wp:extent cx="5534025" cy="2724912"/>
                <wp:effectExtent l="0" t="0" r="0" b="0"/>
                <wp:wrapNone/>
                <wp:docPr id="10" name="Text Box 10" title="Title and subtitle"/>
                <wp:cNvGraphicFramePr/>
                <a:graphic xmlns:a="http://schemas.openxmlformats.org/drawingml/2006/main">
                  <a:graphicData uri="http://schemas.microsoft.com/office/word/2010/wordprocessingShape">
                    <wps:wsp>
                      <wps:cNvSpPr txBox="1"/>
                      <wps:spPr>
                        <a:xfrm>
                          <a:off x="0" y="0"/>
                          <a:ext cx="5534025" cy="2724912"/>
                        </a:xfrm>
                        <a:prstGeom prst="rect">
                          <a:avLst/>
                        </a:prstGeom>
                        <a:noFill/>
                        <a:ln w="6350">
                          <a:noFill/>
                        </a:ln>
                      </wps:spPr>
                      <wps:txbx>
                        <w:txbxContent>
                          <w:sdt>
                            <w:sdtPr>
                              <w:rPr>
                                <w:i/>
                                <w:color w:val="262626" w:themeColor="text1" w:themeTint="D9"/>
                                <w:sz w:val="32"/>
                                <w:szCs w:val="32"/>
                              </w:rPr>
                              <w:alias w:val="Author"/>
                              <w:tag w:val=""/>
                              <w:id w:val="-445779235"/>
                              <w:dataBinding w:prefixMappings="xmlns:ns0='http://purl.org/dc/elements/1.1/' xmlns:ns1='http://schemas.openxmlformats.org/package/2006/metadata/core-properties' " w:xpath="/ns1:coreProperties[1]/ns0:creator[1]" w:storeItemID="{6C3C8BC8-F283-45AE-878A-BAB7291924A1}"/>
                              <w15:appearance w15:val="hidden"/>
                              <w:text/>
                            </w:sdtPr>
                            <w:sdtContent>
                              <w:p w14:paraId="498D7723" w14:textId="2902A06C" w:rsidR="00AB5933" w:rsidRDefault="00AB5933" w:rsidP="007B641F">
                                <w:pPr>
                                  <w:pStyle w:val="NoSpacing"/>
                                  <w:spacing w:after="480"/>
                                  <w:rPr>
                                    <w:i/>
                                    <w:color w:val="262626" w:themeColor="text1" w:themeTint="D9"/>
                                    <w:sz w:val="32"/>
                                    <w:szCs w:val="32"/>
                                  </w:rPr>
                                </w:pPr>
                                <w:r>
                                  <w:rPr>
                                    <w:i/>
                                    <w:color w:val="262626" w:themeColor="text1" w:themeTint="D9"/>
                                    <w:sz w:val="32"/>
                                    <w:szCs w:val="32"/>
                                  </w:rPr>
                                  <w:t>Economic Analysis</w:t>
                                </w:r>
                              </w:p>
                            </w:sdtContent>
                          </w:sdt>
                          <w:p w14:paraId="53205E6B" w14:textId="38F9809F" w:rsidR="00AB5933" w:rsidRDefault="00AB5933" w:rsidP="007B641F">
                            <w:pPr>
                              <w:pStyle w:val="NoSpacing"/>
                              <w:rPr>
                                <w:i/>
                                <w:color w:val="262626" w:themeColor="text1" w:themeTint="D9"/>
                                <w:sz w:val="26"/>
                                <w:szCs w:val="26"/>
                              </w:rPr>
                            </w:pPr>
                            <w:sdt>
                              <w:sdtPr>
                                <w:rPr>
                                  <w:i/>
                                  <w:color w:val="262626" w:themeColor="text1" w:themeTint="D9"/>
                                  <w:sz w:val="26"/>
                                  <w:szCs w:val="26"/>
                                </w:rPr>
                                <w:alias w:val="Company"/>
                                <w:tag w:val=""/>
                                <w:id w:val="-2054601835"/>
                                <w:dataBinding w:prefixMappings="xmlns:ns0='http://schemas.openxmlformats.org/officeDocument/2006/extended-properties' " w:xpath="/ns0:Properties[1]/ns0:Company[1]" w:storeItemID="{6668398D-A668-4E3E-A5EB-62B293D839F1}"/>
                                <w15:appearance w15:val="hidden"/>
                                <w:text/>
                              </w:sdtPr>
                              <w:sdtContent>
                                <w:r>
                                  <w:rPr>
                                    <w:i/>
                                    <w:color w:val="262626" w:themeColor="text1" w:themeTint="D9"/>
                                    <w:sz w:val="26"/>
                                    <w:szCs w:val="26"/>
                                  </w:rPr>
                                  <w:t>Macroeconomic Policy Department</w:t>
                                </w:r>
                              </w:sdtContent>
                            </w:sdt>
                            <w:r>
                              <w:rPr>
                                <w:i/>
                                <w:color w:val="262626" w:themeColor="text1" w:themeTint="D9"/>
                                <w:sz w:val="26"/>
                                <w:szCs w:val="26"/>
                              </w:rPr>
                              <w:t xml:space="preserve"> | </w:t>
                            </w:r>
                            <w:sdt>
                              <w:sdtPr>
                                <w:rPr>
                                  <w:i/>
                                  <w:color w:val="262626" w:themeColor="text1" w:themeTint="D9"/>
                                  <w:sz w:val="26"/>
                                  <w:szCs w:val="26"/>
                                </w:rPr>
                                <w:alias w:val="Company Address"/>
                                <w:tag w:val=""/>
                                <w:id w:val="-145514349"/>
                                <w:dataBinding w:prefixMappings="xmlns:ns0='http://schemas.microsoft.com/office/2006/coverPageProps' " w:xpath="/ns0:CoverPageProperties[1]/ns0:CompanyAddress[1]" w:storeItemID="{55AF091B-3C7A-41E3-B477-F2FDAA23CFDA}"/>
                                <w15:appearance w15:val="hidden"/>
                                <w:text/>
                              </w:sdtPr>
                              <w:sdtContent>
                                <w:proofErr w:type="spellStart"/>
                                <w:r>
                                  <w:rPr>
                                    <w:i/>
                                    <w:color w:val="262626" w:themeColor="text1" w:themeTint="D9"/>
                                    <w:sz w:val="26"/>
                                    <w:szCs w:val="26"/>
                                  </w:rPr>
                                  <w:t>MoFPED</w:t>
                                </w:r>
                                <w:proofErr w:type="spellEnd"/>
                              </w:sdtContent>
                            </w:sdt>
                          </w:p>
                        </w:txbxContent>
                      </wps:txbx>
                      <wps:bodyPr rot="0" spcFirstLastPara="0" vertOverflow="overflow" horzOverflow="overflow" vert="horz" wrap="square" lIns="1188720" tIns="91440" rIns="0" bIns="914400" numCol="1" spcCol="0" rtlCol="0" fromWordArt="0" anchor="b" anchorCtr="0" forceAA="0" compatLnSpc="1">
                        <a:prstTxWarp prst="textNoShape">
                          <a:avLst/>
                        </a:prstTxWarp>
                        <a:noAutofit/>
                      </wps:bodyPr>
                    </wps:wsp>
                  </a:graphicData>
                </a:graphic>
                <wp14:sizeRelH relativeFrom="page">
                  <wp14:pctWidth>89000</wp14:pctWidth>
                </wp14:sizeRelH>
                <wp14:sizeRelV relativeFrom="margin">
                  <wp14:pctHeight>0</wp14:pctHeight>
                </wp14:sizeRelV>
              </wp:anchor>
            </w:drawing>
          </mc:Choice>
          <mc:Fallback>
            <w:pict>
              <v:shape w14:anchorId="1B593AC7" id="Text Box 10" o:spid="_x0000_s1028" type="#_x0000_t202" alt="Title: Title and subtitle" style="position:absolute;left:0;text-align:left;margin-left:0;margin-top:627.45pt;width:435.75pt;height:214.55pt;z-index:251663360;visibility:visible;mso-wrap-style:square;mso-width-percent:890;mso-height-percent:0;mso-wrap-distance-left:9pt;mso-wrap-distance-top:0;mso-wrap-distance-right:9pt;mso-wrap-distance-bottom:0;mso-position-horizontal:absolute;mso-position-horizontal-relative:page;mso-position-vertical:absolute;mso-position-vertical-relative:page;mso-width-percent:890;mso-height-percent:0;mso-width-relative:page;mso-height-relative:margin;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" filled="f" stroked="f" strokeweight=".5pt">
                <v:textbox inset="93.6pt,7.2pt,0,1in">
                  <w:txbxContent>
                    <w:sdt>
                      <w:sdtPr>
                        <w:rPr>
                          <w:i/>
                          <w:color w:val="262626" w:themeColor="text1" w:themeTint="D9"/>
                          <w:sz w:val="32"/>
                          <w:szCs w:val="32"/>
                        </w:rPr>
                        <w:alias w:val="Author"/>
                        <w:tag w:val=""/>
                        <w:id w:val="-445779235"/>
                        <w:dataBinding w:prefixMappings="xmlns:ns0='http://purl.org/dc/elements/1.1/' xmlns:ns1='http://schemas.openxmlformats.org/package/2006/metadata/core-properties' " w:xpath="/ns1:coreProperties[1]/ns0:creator[1]" w:storeItemID="{6C3C8BC8-F283-45AE-878A-BAB7291924A1}"/>
                        <w15:appearance w15:val="hidden"/>
                        <w:text/>
                      </w:sdtPr>
                      <w:sdtContent>
                        <w:p w14:paraId="498D7723" w14:textId="2902A06C" w:rsidR="00AB5933" w:rsidRDefault="00AB5933" w:rsidP="007B641F">
                          <w:pPr>
                            <w:pStyle w:val="NoSpacing"/>
                            <w:spacing w:after="480"/>
                            <w:rPr>
                              <w:i/>
                              <w:color w:val="262626" w:themeColor="text1" w:themeTint="D9"/>
                              <w:sz w:val="32"/>
                              <w:szCs w:val="32"/>
                            </w:rPr>
                          </w:pPr>
                          <w:r>
                            <w:rPr>
                              <w:i/>
                              <w:color w:val="262626" w:themeColor="text1" w:themeTint="D9"/>
                              <w:sz w:val="32"/>
                              <w:szCs w:val="32"/>
                            </w:rPr>
                            <w:t>Economic Analysis</w:t>
                          </w:r>
                        </w:p>
                      </w:sdtContent>
                    </w:sdt>
                    <w:p w14:paraId="53205E6B" w14:textId="38F9809F" w:rsidR="00AB5933" w:rsidRDefault="00AB5933" w:rsidP="007B641F">
                      <w:pPr>
                        <w:pStyle w:val="NoSpacing"/>
                        <w:rPr>
                          <w:i/>
                          <w:color w:val="262626" w:themeColor="text1" w:themeTint="D9"/>
                          <w:sz w:val="26"/>
                          <w:szCs w:val="26"/>
                        </w:rPr>
                      </w:pPr>
                      <w:sdt>
                        <w:sdtPr>
                          <w:rPr>
                            <w:i/>
                            <w:color w:val="262626" w:themeColor="text1" w:themeTint="D9"/>
                            <w:sz w:val="26"/>
                            <w:szCs w:val="26"/>
                          </w:rPr>
                          <w:alias w:val="Company"/>
                          <w:tag w:val=""/>
                          <w:id w:val="-2054601835"/>
                          <w:dataBinding w:prefixMappings="xmlns:ns0='http://schemas.openxmlformats.org/officeDocument/2006/extended-properties' " w:xpath="/ns0:Properties[1]/ns0:Company[1]" w:storeItemID="{6668398D-A668-4E3E-A5EB-62B293D839F1}"/>
                          <w15:appearance w15:val="hidden"/>
                          <w:text/>
                        </w:sdtPr>
                        <w:sdtContent>
                          <w:r>
                            <w:rPr>
                              <w:i/>
                              <w:color w:val="262626" w:themeColor="text1" w:themeTint="D9"/>
                              <w:sz w:val="26"/>
                              <w:szCs w:val="26"/>
                            </w:rPr>
                            <w:t>Macroeconomic Policy Department</w:t>
                          </w:r>
                        </w:sdtContent>
                      </w:sdt>
                      <w:r>
                        <w:rPr>
                          <w:i/>
                          <w:color w:val="262626" w:themeColor="text1" w:themeTint="D9"/>
                          <w:sz w:val="26"/>
                          <w:szCs w:val="26"/>
                        </w:rPr>
                        <w:t xml:space="preserve"> | </w:t>
                      </w:r>
                      <w:sdt>
                        <w:sdtPr>
                          <w:rPr>
                            <w:i/>
                            <w:color w:val="262626" w:themeColor="text1" w:themeTint="D9"/>
                            <w:sz w:val="26"/>
                            <w:szCs w:val="26"/>
                          </w:rPr>
                          <w:alias w:val="Company Address"/>
                          <w:tag w:val=""/>
                          <w:id w:val="-145514349"/>
                          <w:dataBinding w:prefixMappings="xmlns:ns0='http://schemas.microsoft.com/office/2006/coverPageProps' " w:xpath="/ns0:CoverPageProperties[1]/ns0:CompanyAddress[1]" w:storeItemID="{55AF091B-3C7A-41E3-B477-F2FDAA23CFDA}"/>
                          <w15:appearance w15:val="hidden"/>
                          <w:text/>
                        </w:sdtPr>
                        <w:sdtContent>
                          <w:proofErr w:type="spellStart"/>
                          <w:r>
                            <w:rPr>
                              <w:i/>
                              <w:color w:val="262626" w:themeColor="text1" w:themeTint="D9"/>
                              <w:sz w:val="26"/>
                              <w:szCs w:val="26"/>
                            </w:rPr>
                            <w:t>MoFPED</w:t>
                          </w:r>
                          <w:proofErr w:type="spellEnd"/>
                        </w:sdtContent>
                      </w:sdt>
                    </w:p>
                  </w:txbxContent>
                </v:textbox>
                <w10:wrap anchorx="page" anchory="page"/>
              </v:shape>
            </w:pict>
          </mc:Fallback>
        </mc:AlternateContent>
      </w:r>
    </w:p>
    <w:sectPr w:rsidR="002F7D14" w:rsidRPr="00824F86" w:rsidSect="001E1564">
      <w:footerReference w:type="even" r:id="rId19"/>
      <w:footerReference w:type="default" r:id="rId20"/>
      <w:pgSz w:w="11900" w:h="16840"/>
      <w:pgMar w:top="1440"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08EAEE" w14:textId="77777777" w:rsidR="00850CC1" w:rsidRDefault="00850CC1" w:rsidP="00ED1558">
      <w:r>
        <w:separator/>
      </w:r>
    </w:p>
  </w:endnote>
  <w:endnote w:type="continuationSeparator" w:id="0">
    <w:p w14:paraId="6BE3892E" w14:textId="77777777" w:rsidR="00850CC1" w:rsidRDefault="00850CC1" w:rsidP="00ED1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644898178"/>
      <w:docPartObj>
        <w:docPartGallery w:val="Page Numbers (Bottom of Page)"/>
        <w:docPartUnique/>
      </w:docPartObj>
    </w:sdtPr>
    <w:sdtContent>
      <w:p w14:paraId="0C160D10" w14:textId="28735D1E" w:rsidR="00AB5933" w:rsidRDefault="00AB5933" w:rsidP="00523D1C">
        <w:pPr>
          <w:pStyle w:val="Footer"/>
          <w:framePr w:wrap="none" w:vAnchor="text" w:hAnchor="margin" w:xAlign="center" w:y="1"/>
          <w:rPr>
            <w:rStyle w:val="PageNumber"/>
            <w:rFonts w:ascii="Times New Roman" w:hAnsi="Times New Roman" w:cs="Times New Roman"/>
            <w:lang w:eastAsia="en-GB"/>
          </w:rPr>
        </w:pPr>
        <w:r>
          <w:rPr>
            <w:rStyle w:val="PageNumber"/>
          </w:rPr>
          <w:fldChar w:fldCharType="begin"/>
        </w:r>
        <w:r>
          <w:rPr>
            <w:rStyle w:val="PageNumber"/>
          </w:rPr>
          <w:instrText xml:space="preserve"> PAGE </w:instrText>
        </w:r>
        <w:r>
          <w:rPr>
            <w:rStyle w:val="PageNumber"/>
          </w:rPr>
          <w:fldChar w:fldCharType="end"/>
        </w:r>
      </w:p>
    </w:sdtContent>
  </w:sdt>
  <w:p w14:paraId="0806E89A" w14:textId="77777777" w:rsidR="00AB5933" w:rsidRDefault="00AB59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561555833"/>
      <w:docPartObj>
        <w:docPartGallery w:val="Page Numbers (Bottom of Page)"/>
        <w:docPartUnique/>
      </w:docPartObj>
    </w:sdtPr>
    <w:sdtContent>
      <w:p w14:paraId="13C94A3C" w14:textId="0FBE5724" w:rsidR="00AB5933" w:rsidRDefault="00AB5933" w:rsidP="00523D1C">
        <w:pPr>
          <w:pStyle w:val="Footer"/>
          <w:framePr w:wrap="none" w:vAnchor="text" w:hAnchor="margin" w:xAlign="center" w:y="1"/>
          <w:rPr>
            <w:rStyle w:val="PageNumber"/>
            <w:rFonts w:ascii="Times New Roman" w:hAnsi="Times New Roman" w:cs="Times New Roman"/>
            <w:lang w:eastAsia="en-GB"/>
          </w:rPr>
        </w:pP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p>
    </w:sdtContent>
  </w:sdt>
  <w:p w14:paraId="72ED5CB2" w14:textId="77777777" w:rsidR="00AB5933" w:rsidRDefault="00AB59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64747F" w14:textId="77777777" w:rsidR="00850CC1" w:rsidRDefault="00850CC1" w:rsidP="00ED1558">
      <w:r>
        <w:separator/>
      </w:r>
    </w:p>
  </w:footnote>
  <w:footnote w:type="continuationSeparator" w:id="0">
    <w:p w14:paraId="5EC3B621" w14:textId="77777777" w:rsidR="00850CC1" w:rsidRDefault="00850CC1" w:rsidP="00ED1558">
      <w:r>
        <w:continuationSeparator/>
      </w:r>
    </w:p>
  </w:footnote>
  <w:footnote w:id="1">
    <w:p w14:paraId="373FE0E3" w14:textId="40D30458" w:rsidR="00AB5933" w:rsidRDefault="00AB5933">
      <w:pPr>
        <w:pStyle w:val="FootnoteText"/>
      </w:pPr>
      <w:r>
        <w:rPr>
          <w:rStyle w:val="FootnoteReference"/>
        </w:rPr>
        <w:footnoteRef/>
      </w:r>
      <w:r>
        <w:t xml:space="preserve"> </w:t>
      </w:r>
      <w:r w:rsidRPr="002226DE">
        <w:rPr>
          <w:i/>
          <w:iCs/>
        </w:rPr>
        <w:t>India Slowing, China Resilient in Harvard’s New Global Growth Projections</w:t>
      </w:r>
      <w:r w:rsidRPr="002226DE">
        <w:t xml:space="preserve">: </w:t>
      </w:r>
      <w:hyperlink r:id="rId1" w:history="1">
        <w:r w:rsidRPr="002226DE">
          <w:rPr>
            <w:rStyle w:val="Hyperlink"/>
          </w:rPr>
          <w:t>http://atlas.cid.harvard.edu/growth-projections</w:t>
        </w:r>
      </w:hyperlink>
    </w:p>
  </w:footnote>
  <w:footnote w:id="2">
    <w:p w14:paraId="0AFD7EF3" w14:textId="0FDF8971" w:rsidR="00AB5933" w:rsidRDefault="00AB5933">
      <w:pPr>
        <w:pStyle w:val="FootnoteText"/>
      </w:pPr>
      <w:r>
        <w:rPr>
          <w:rStyle w:val="FootnoteReference"/>
        </w:rPr>
        <w:footnoteRef/>
      </w:r>
      <w:r>
        <w:t xml:space="preserve"> </w:t>
      </w:r>
      <w:r w:rsidRPr="00014BC7">
        <w:rPr>
          <w:i/>
          <w:iCs/>
        </w:rPr>
        <w:t>Complexity rankings</w:t>
      </w:r>
      <w:r w:rsidRPr="00014BC7">
        <w:t xml:space="preserve">: </w:t>
      </w:r>
      <w:hyperlink r:id="rId2" w:history="1">
        <w:r w:rsidRPr="00014BC7">
          <w:rPr>
            <w:rStyle w:val="Hyperlink"/>
          </w:rPr>
          <w:t>http://atlas.cid.harvard.edu/rankings</w:t>
        </w:r>
      </w:hyperlink>
      <w:r w:rsidRPr="00014BC7">
        <w:t xml:space="preserve"> </w:t>
      </w:r>
    </w:p>
  </w:footnote>
  <w:footnote w:id="3">
    <w:p w14:paraId="5D0CEE34" w14:textId="1D010AC0" w:rsidR="00AB5933" w:rsidRDefault="00AB5933">
      <w:pPr>
        <w:pStyle w:val="FootnoteText"/>
      </w:pPr>
      <w:r>
        <w:rPr>
          <w:rStyle w:val="FootnoteReference"/>
        </w:rPr>
        <w:footnoteRef/>
      </w:r>
      <w:r>
        <w:t xml:space="preserve"> </w:t>
      </w:r>
      <w:r w:rsidRPr="0052554C">
        <w:t>These include Kenya, Tanzania, Uganda, Rwanda and Burundi.  Data on South Sudan wasn’t available at the time of the analysis.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A21059"/>
    <w:multiLevelType w:val="hybridMultilevel"/>
    <w:tmpl w:val="8CB2F6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4ED4"/>
    <w:rsid w:val="000069A4"/>
    <w:rsid w:val="00012D61"/>
    <w:rsid w:val="00014BC7"/>
    <w:rsid w:val="00017A0B"/>
    <w:rsid w:val="00021828"/>
    <w:rsid w:val="00027AA1"/>
    <w:rsid w:val="00032AE5"/>
    <w:rsid w:val="000333E0"/>
    <w:rsid w:val="0007027C"/>
    <w:rsid w:val="00077845"/>
    <w:rsid w:val="00090EE9"/>
    <w:rsid w:val="00094BAF"/>
    <w:rsid w:val="000A04DB"/>
    <w:rsid w:val="000A1228"/>
    <w:rsid w:val="000D26F3"/>
    <w:rsid w:val="000E2A78"/>
    <w:rsid w:val="000F47DE"/>
    <w:rsid w:val="001055C7"/>
    <w:rsid w:val="00106796"/>
    <w:rsid w:val="001302E0"/>
    <w:rsid w:val="001350EB"/>
    <w:rsid w:val="00143B52"/>
    <w:rsid w:val="00165A3F"/>
    <w:rsid w:val="00174E99"/>
    <w:rsid w:val="001875D7"/>
    <w:rsid w:val="001A4A52"/>
    <w:rsid w:val="001A7DB7"/>
    <w:rsid w:val="001C39E7"/>
    <w:rsid w:val="001D2BAC"/>
    <w:rsid w:val="001E1564"/>
    <w:rsid w:val="001E371A"/>
    <w:rsid w:val="001F10EE"/>
    <w:rsid w:val="001F6E41"/>
    <w:rsid w:val="00213D7B"/>
    <w:rsid w:val="002226DE"/>
    <w:rsid w:val="002302D5"/>
    <w:rsid w:val="00233BF1"/>
    <w:rsid w:val="00262F8B"/>
    <w:rsid w:val="0029428A"/>
    <w:rsid w:val="002943D5"/>
    <w:rsid w:val="002A7185"/>
    <w:rsid w:val="002E28D1"/>
    <w:rsid w:val="002F7D14"/>
    <w:rsid w:val="0030184B"/>
    <w:rsid w:val="00331E72"/>
    <w:rsid w:val="0033634B"/>
    <w:rsid w:val="0035306A"/>
    <w:rsid w:val="00364200"/>
    <w:rsid w:val="003655C7"/>
    <w:rsid w:val="00377F9D"/>
    <w:rsid w:val="003825C9"/>
    <w:rsid w:val="00382DAF"/>
    <w:rsid w:val="003B6681"/>
    <w:rsid w:val="003B7652"/>
    <w:rsid w:val="003C1401"/>
    <w:rsid w:val="003C172E"/>
    <w:rsid w:val="003C2935"/>
    <w:rsid w:val="003D4A90"/>
    <w:rsid w:val="003F40BF"/>
    <w:rsid w:val="0040341D"/>
    <w:rsid w:val="00404DF3"/>
    <w:rsid w:val="004454FE"/>
    <w:rsid w:val="00452EA8"/>
    <w:rsid w:val="00480F4E"/>
    <w:rsid w:val="004820B3"/>
    <w:rsid w:val="00491F47"/>
    <w:rsid w:val="004A6647"/>
    <w:rsid w:val="004C19BB"/>
    <w:rsid w:val="004C1B70"/>
    <w:rsid w:val="004D1F53"/>
    <w:rsid w:val="005073F1"/>
    <w:rsid w:val="00515FD6"/>
    <w:rsid w:val="00523D1C"/>
    <w:rsid w:val="0052554C"/>
    <w:rsid w:val="00551DD7"/>
    <w:rsid w:val="00554046"/>
    <w:rsid w:val="00557A97"/>
    <w:rsid w:val="00573F36"/>
    <w:rsid w:val="005742A7"/>
    <w:rsid w:val="00577915"/>
    <w:rsid w:val="006140B8"/>
    <w:rsid w:val="0062386D"/>
    <w:rsid w:val="00643D53"/>
    <w:rsid w:val="00646513"/>
    <w:rsid w:val="00647700"/>
    <w:rsid w:val="006A1F29"/>
    <w:rsid w:val="006E0072"/>
    <w:rsid w:val="00715C22"/>
    <w:rsid w:val="00720E95"/>
    <w:rsid w:val="00747C95"/>
    <w:rsid w:val="00755328"/>
    <w:rsid w:val="00767188"/>
    <w:rsid w:val="0078287E"/>
    <w:rsid w:val="00796761"/>
    <w:rsid w:val="007A2F4E"/>
    <w:rsid w:val="007B641F"/>
    <w:rsid w:val="007C14FC"/>
    <w:rsid w:val="007F0F61"/>
    <w:rsid w:val="00804C6E"/>
    <w:rsid w:val="00824F86"/>
    <w:rsid w:val="00836CCC"/>
    <w:rsid w:val="00850CC1"/>
    <w:rsid w:val="00863CA9"/>
    <w:rsid w:val="008837F2"/>
    <w:rsid w:val="00884854"/>
    <w:rsid w:val="00885A51"/>
    <w:rsid w:val="00892DB2"/>
    <w:rsid w:val="00894E87"/>
    <w:rsid w:val="008972D3"/>
    <w:rsid w:val="008A08FF"/>
    <w:rsid w:val="008B5B4C"/>
    <w:rsid w:val="008D7742"/>
    <w:rsid w:val="008F2911"/>
    <w:rsid w:val="00902BE7"/>
    <w:rsid w:val="00937C5B"/>
    <w:rsid w:val="00952700"/>
    <w:rsid w:val="00965EA3"/>
    <w:rsid w:val="009945B8"/>
    <w:rsid w:val="009949E1"/>
    <w:rsid w:val="009C2BA6"/>
    <w:rsid w:val="00A00183"/>
    <w:rsid w:val="00A128F9"/>
    <w:rsid w:val="00A35DD3"/>
    <w:rsid w:val="00A404CA"/>
    <w:rsid w:val="00A804CC"/>
    <w:rsid w:val="00AB5933"/>
    <w:rsid w:val="00AD06E9"/>
    <w:rsid w:val="00AE027F"/>
    <w:rsid w:val="00AF3BB3"/>
    <w:rsid w:val="00B034BA"/>
    <w:rsid w:val="00B12439"/>
    <w:rsid w:val="00B2616C"/>
    <w:rsid w:val="00B53784"/>
    <w:rsid w:val="00B54A9E"/>
    <w:rsid w:val="00B70153"/>
    <w:rsid w:val="00B90BCF"/>
    <w:rsid w:val="00BA2F34"/>
    <w:rsid w:val="00BF2088"/>
    <w:rsid w:val="00BF2EF4"/>
    <w:rsid w:val="00C17A20"/>
    <w:rsid w:val="00C25FBF"/>
    <w:rsid w:val="00C34ED4"/>
    <w:rsid w:val="00C50ED6"/>
    <w:rsid w:val="00CB3535"/>
    <w:rsid w:val="00CD1656"/>
    <w:rsid w:val="00CF340C"/>
    <w:rsid w:val="00D26971"/>
    <w:rsid w:val="00D321A3"/>
    <w:rsid w:val="00D51239"/>
    <w:rsid w:val="00D5421B"/>
    <w:rsid w:val="00D55BF5"/>
    <w:rsid w:val="00D60EE6"/>
    <w:rsid w:val="00D7366F"/>
    <w:rsid w:val="00D944AF"/>
    <w:rsid w:val="00DC2887"/>
    <w:rsid w:val="00DC3C9B"/>
    <w:rsid w:val="00DD0822"/>
    <w:rsid w:val="00DE3F91"/>
    <w:rsid w:val="00E00C5D"/>
    <w:rsid w:val="00E032F2"/>
    <w:rsid w:val="00E04043"/>
    <w:rsid w:val="00E10E6F"/>
    <w:rsid w:val="00E309DB"/>
    <w:rsid w:val="00E502F2"/>
    <w:rsid w:val="00E5376D"/>
    <w:rsid w:val="00E6454F"/>
    <w:rsid w:val="00E713E6"/>
    <w:rsid w:val="00E931D6"/>
    <w:rsid w:val="00ED007D"/>
    <w:rsid w:val="00ED1558"/>
    <w:rsid w:val="00EE5211"/>
    <w:rsid w:val="00F05527"/>
    <w:rsid w:val="00F128FA"/>
    <w:rsid w:val="00F27D8B"/>
    <w:rsid w:val="00F76166"/>
    <w:rsid w:val="00F96F4B"/>
    <w:rsid w:val="00FB0A56"/>
    <w:rsid w:val="00FE2A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8426FB"/>
  <w15:chartTrackingRefBased/>
  <w15:docId w15:val="{AFBAAFD5-9966-9247-B3EE-379B63429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1239"/>
    <w:rPr>
      <w:rFonts w:ascii="Times New Roman" w:eastAsia="Times New Roman" w:hAnsi="Times New Roman" w:cs="Times New Roman"/>
      <w:lang w:eastAsia="en-GB"/>
    </w:rPr>
  </w:style>
  <w:style w:type="paragraph" w:styleId="Heading1">
    <w:name w:val="heading 1"/>
    <w:basedOn w:val="Normal"/>
    <w:next w:val="Normal"/>
    <w:link w:val="Heading1Char"/>
    <w:uiPriority w:val="9"/>
    <w:qFormat/>
    <w:rsid w:val="00BF2EF4"/>
    <w:pPr>
      <w:keepNext/>
      <w:keepLines/>
      <w:spacing w:before="240"/>
      <w:outlineLvl w:val="0"/>
    </w:pPr>
    <w:rPr>
      <w:rFonts w:asciiTheme="majorHAnsi" w:eastAsiaTheme="majorEastAsia" w:hAnsiTheme="majorHAnsi" w:cstheme="majorBidi"/>
      <w:color w:val="2F5496" w:themeColor="accent1" w:themeShade="BF"/>
      <w:sz w:val="32"/>
      <w:szCs w:val="32"/>
      <w:lang w:eastAsia="en-US"/>
    </w:rPr>
  </w:style>
  <w:style w:type="paragraph" w:styleId="Heading2">
    <w:name w:val="heading 2"/>
    <w:basedOn w:val="Normal"/>
    <w:next w:val="Normal"/>
    <w:link w:val="Heading2Char"/>
    <w:uiPriority w:val="9"/>
    <w:unhideWhenUsed/>
    <w:qFormat/>
    <w:rsid w:val="009949E1"/>
    <w:pPr>
      <w:keepNext/>
      <w:keepLines/>
      <w:spacing w:before="40"/>
      <w:outlineLvl w:val="1"/>
    </w:pPr>
    <w:rPr>
      <w:rFonts w:asciiTheme="majorHAnsi" w:eastAsiaTheme="majorEastAsia" w:hAnsiTheme="majorHAnsi" w:cstheme="majorBidi"/>
      <w:color w:val="2F5496" w:themeColor="accent1" w:themeShade="BF"/>
      <w:sz w:val="26"/>
      <w:szCs w:val="26"/>
      <w:lang w:eastAsia="en-US"/>
    </w:rPr>
  </w:style>
  <w:style w:type="paragraph" w:styleId="Heading3">
    <w:name w:val="heading 3"/>
    <w:basedOn w:val="Normal"/>
    <w:next w:val="Normal"/>
    <w:link w:val="Heading3Char"/>
    <w:uiPriority w:val="9"/>
    <w:unhideWhenUsed/>
    <w:qFormat/>
    <w:rsid w:val="00863CA9"/>
    <w:pPr>
      <w:keepNext/>
      <w:keepLines/>
      <w:spacing w:before="40"/>
      <w:outlineLvl w:val="2"/>
    </w:pPr>
    <w:rPr>
      <w:rFonts w:asciiTheme="majorHAnsi" w:eastAsiaTheme="majorEastAsia" w:hAnsiTheme="majorHAnsi" w:cstheme="majorBidi"/>
      <w:color w:val="1F3763" w:themeColor="accent1" w:themeShade="7F"/>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F2EF4"/>
    <w:rPr>
      <w:rFonts w:asciiTheme="majorHAnsi" w:eastAsiaTheme="majorEastAsia" w:hAnsiTheme="majorHAnsi" w:cstheme="majorBidi"/>
      <w:color w:val="2F5496" w:themeColor="accent1" w:themeShade="BF"/>
      <w:sz w:val="32"/>
      <w:szCs w:val="32"/>
    </w:rPr>
  </w:style>
  <w:style w:type="paragraph" w:styleId="Title">
    <w:name w:val="Title"/>
    <w:basedOn w:val="Normal"/>
    <w:next w:val="Normal"/>
    <w:link w:val="TitleChar"/>
    <w:uiPriority w:val="10"/>
    <w:qFormat/>
    <w:rsid w:val="00BF2EF4"/>
    <w:pPr>
      <w:contextualSpacing/>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uiPriority w:val="10"/>
    <w:rsid w:val="00BF2EF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F2EF4"/>
    <w:pPr>
      <w:numPr>
        <w:ilvl w:val="1"/>
      </w:numPr>
      <w:spacing w:after="160"/>
    </w:pPr>
    <w:rPr>
      <w:rFonts w:asciiTheme="minorHAnsi" w:eastAsiaTheme="minorEastAsia" w:hAnsiTheme="minorHAnsi" w:cstheme="minorBidi"/>
      <w:color w:val="5A5A5A" w:themeColor="text1" w:themeTint="A5"/>
      <w:spacing w:val="15"/>
      <w:sz w:val="22"/>
      <w:szCs w:val="22"/>
      <w:lang w:eastAsia="en-US"/>
    </w:rPr>
  </w:style>
  <w:style w:type="character" w:customStyle="1" w:styleId="SubtitleChar">
    <w:name w:val="Subtitle Char"/>
    <w:basedOn w:val="DefaultParagraphFont"/>
    <w:link w:val="Subtitle"/>
    <w:uiPriority w:val="11"/>
    <w:rsid w:val="00BF2EF4"/>
    <w:rPr>
      <w:rFonts w:eastAsiaTheme="minorEastAsia"/>
      <w:color w:val="5A5A5A" w:themeColor="text1" w:themeTint="A5"/>
      <w:spacing w:val="15"/>
      <w:sz w:val="22"/>
      <w:szCs w:val="22"/>
    </w:rPr>
  </w:style>
  <w:style w:type="paragraph" w:styleId="NoSpacing">
    <w:name w:val="No Spacing"/>
    <w:link w:val="NoSpacingChar"/>
    <w:uiPriority w:val="1"/>
    <w:qFormat/>
    <w:rsid w:val="001E1564"/>
    <w:rPr>
      <w:rFonts w:eastAsiaTheme="minorEastAsia"/>
      <w:sz w:val="22"/>
      <w:szCs w:val="22"/>
      <w:lang w:val="en-US" w:eastAsia="zh-CN"/>
    </w:rPr>
  </w:style>
  <w:style w:type="character" w:customStyle="1" w:styleId="NoSpacingChar">
    <w:name w:val="No Spacing Char"/>
    <w:basedOn w:val="DefaultParagraphFont"/>
    <w:link w:val="NoSpacing"/>
    <w:uiPriority w:val="1"/>
    <w:rsid w:val="001E1564"/>
    <w:rPr>
      <w:rFonts w:eastAsiaTheme="minorEastAsia"/>
      <w:sz w:val="22"/>
      <w:szCs w:val="22"/>
      <w:lang w:val="en-US" w:eastAsia="zh-CN"/>
    </w:rPr>
  </w:style>
  <w:style w:type="paragraph" w:styleId="TOCHeading">
    <w:name w:val="TOC Heading"/>
    <w:basedOn w:val="Heading1"/>
    <w:next w:val="Normal"/>
    <w:uiPriority w:val="39"/>
    <w:unhideWhenUsed/>
    <w:qFormat/>
    <w:rsid w:val="00ED007D"/>
    <w:pPr>
      <w:spacing w:before="480" w:line="276" w:lineRule="auto"/>
      <w:outlineLvl w:val="9"/>
    </w:pPr>
    <w:rPr>
      <w:b/>
      <w:bCs/>
      <w:sz w:val="28"/>
      <w:szCs w:val="28"/>
      <w:lang w:val="en-US"/>
    </w:rPr>
  </w:style>
  <w:style w:type="paragraph" w:styleId="TOC1">
    <w:name w:val="toc 1"/>
    <w:basedOn w:val="Normal"/>
    <w:next w:val="Normal"/>
    <w:autoRedefine/>
    <w:uiPriority w:val="39"/>
    <w:unhideWhenUsed/>
    <w:rsid w:val="00ED007D"/>
    <w:pPr>
      <w:spacing w:before="120"/>
    </w:pPr>
    <w:rPr>
      <w:rFonts w:asciiTheme="minorHAnsi" w:eastAsiaTheme="minorHAnsi" w:hAnsiTheme="minorHAnsi" w:cstheme="minorBidi"/>
      <w:b/>
      <w:bCs/>
      <w:i/>
      <w:iCs/>
      <w:lang w:eastAsia="en-US"/>
    </w:rPr>
  </w:style>
  <w:style w:type="paragraph" w:styleId="TOC2">
    <w:name w:val="toc 2"/>
    <w:basedOn w:val="Normal"/>
    <w:next w:val="Normal"/>
    <w:autoRedefine/>
    <w:uiPriority w:val="39"/>
    <w:unhideWhenUsed/>
    <w:rsid w:val="00ED007D"/>
    <w:pPr>
      <w:spacing w:before="120"/>
      <w:ind w:left="240"/>
    </w:pPr>
    <w:rPr>
      <w:rFonts w:asciiTheme="minorHAnsi" w:eastAsiaTheme="minorHAnsi" w:hAnsiTheme="minorHAnsi" w:cstheme="minorBidi"/>
      <w:b/>
      <w:bCs/>
      <w:sz w:val="22"/>
      <w:szCs w:val="22"/>
      <w:lang w:eastAsia="en-US"/>
    </w:rPr>
  </w:style>
  <w:style w:type="paragraph" w:styleId="TOC3">
    <w:name w:val="toc 3"/>
    <w:basedOn w:val="Normal"/>
    <w:next w:val="Normal"/>
    <w:autoRedefine/>
    <w:uiPriority w:val="39"/>
    <w:unhideWhenUsed/>
    <w:rsid w:val="00ED007D"/>
    <w:pPr>
      <w:ind w:left="480"/>
    </w:pPr>
    <w:rPr>
      <w:rFonts w:asciiTheme="minorHAnsi" w:eastAsiaTheme="minorHAnsi" w:hAnsiTheme="minorHAnsi" w:cstheme="minorBidi"/>
      <w:sz w:val="20"/>
      <w:szCs w:val="20"/>
      <w:lang w:eastAsia="en-US"/>
    </w:rPr>
  </w:style>
  <w:style w:type="paragraph" w:styleId="TOC4">
    <w:name w:val="toc 4"/>
    <w:basedOn w:val="Normal"/>
    <w:next w:val="Normal"/>
    <w:autoRedefine/>
    <w:uiPriority w:val="39"/>
    <w:semiHidden/>
    <w:unhideWhenUsed/>
    <w:rsid w:val="00ED007D"/>
    <w:pPr>
      <w:ind w:left="720"/>
    </w:pPr>
    <w:rPr>
      <w:rFonts w:asciiTheme="minorHAnsi" w:eastAsiaTheme="minorHAnsi" w:hAnsiTheme="minorHAnsi" w:cstheme="minorBidi"/>
      <w:sz w:val="20"/>
      <w:szCs w:val="20"/>
      <w:lang w:eastAsia="en-US"/>
    </w:rPr>
  </w:style>
  <w:style w:type="paragraph" w:styleId="TOC5">
    <w:name w:val="toc 5"/>
    <w:basedOn w:val="Normal"/>
    <w:next w:val="Normal"/>
    <w:autoRedefine/>
    <w:uiPriority w:val="39"/>
    <w:semiHidden/>
    <w:unhideWhenUsed/>
    <w:rsid w:val="00ED007D"/>
    <w:pPr>
      <w:ind w:left="960"/>
    </w:pPr>
    <w:rPr>
      <w:rFonts w:asciiTheme="minorHAnsi" w:eastAsiaTheme="minorHAnsi" w:hAnsiTheme="minorHAnsi" w:cstheme="minorBidi"/>
      <w:sz w:val="20"/>
      <w:szCs w:val="20"/>
      <w:lang w:eastAsia="en-US"/>
    </w:rPr>
  </w:style>
  <w:style w:type="paragraph" w:styleId="TOC6">
    <w:name w:val="toc 6"/>
    <w:basedOn w:val="Normal"/>
    <w:next w:val="Normal"/>
    <w:autoRedefine/>
    <w:uiPriority w:val="39"/>
    <w:semiHidden/>
    <w:unhideWhenUsed/>
    <w:rsid w:val="00ED007D"/>
    <w:pPr>
      <w:ind w:left="1200"/>
    </w:pPr>
    <w:rPr>
      <w:rFonts w:asciiTheme="minorHAnsi" w:eastAsiaTheme="minorHAnsi" w:hAnsiTheme="minorHAnsi" w:cstheme="minorBidi"/>
      <w:sz w:val="20"/>
      <w:szCs w:val="20"/>
      <w:lang w:eastAsia="en-US"/>
    </w:rPr>
  </w:style>
  <w:style w:type="paragraph" w:styleId="TOC7">
    <w:name w:val="toc 7"/>
    <w:basedOn w:val="Normal"/>
    <w:next w:val="Normal"/>
    <w:autoRedefine/>
    <w:uiPriority w:val="39"/>
    <w:semiHidden/>
    <w:unhideWhenUsed/>
    <w:rsid w:val="00ED007D"/>
    <w:pPr>
      <w:ind w:left="1440"/>
    </w:pPr>
    <w:rPr>
      <w:rFonts w:asciiTheme="minorHAnsi" w:eastAsiaTheme="minorHAnsi" w:hAnsiTheme="minorHAnsi" w:cstheme="minorBidi"/>
      <w:sz w:val="20"/>
      <w:szCs w:val="20"/>
      <w:lang w:eastAsia="en-US"/>
    </w:rPr>
  </w:style>
  <w:style w:type="paragraph" w:styleId="TOC8">
    <w:name w:val="toc 8"/>
    <w:basedOn w:val="Normal"/>
    <w:next w:val="Normal"/>
    <w:autoRedefine/>
    <w:uiPriority w:val="39"/>
    <w:semiHidden/>
    <w:unhideWhenUsed/>
    <w:rsid w:val="00ED007D"/>
    <w:pPr>
      <w:ind w:left="1680"/>
    </w:pPr>
    <w:rPr>
      <w:rFonts w:asciiTheme="minorHAnsi" w:eastAsiaTheme="minorHAnsi" w:hAnsiTheme="minorHAnsi" w:cstheme="minorBidi"/>
      <w:sz w:val="20"/>
      <w:szCs w:val="20"/>
      <w:lang w:eastAsia="en-US"/>
    </w:rPr>
  </w:style>
  <w:style w:type="paragraph" w:styleId="TOC9">
    <w:name w:val="toc 9"/>
    <w:basedOn w:val="Normal"/>
    <w:next w:val="Normal"/>
    <w:autoRedefine/>
    <w:uiPriority w:val="39"/>
    <w:semiHidden/>
    <w:unhideWhenUsed/>
    <w:rsid w:val="00ED007D"/>
    <w:pPr>
      <w:ind w:left="1920"/>
    </w:pPr>
    <w:rPr>
      <w:rFonts w:asciiTheme="minorHAnsi" w:eastAsiaTheme="minorHAnsi" w:hAnsiTheme="minorHAnsi" w:cstheme="minorBidi"/>
      <w:sz w:val="20"/>
      <w:szCs w:val="20"/>
      <w:lang w:eastAsia="en-US"/>
    </w:rPr>
  </w:style>
  <w:style w:type="paragraph" w:styleId="Footer">
    <w:name w:val="footer"/>
    <w:basedOn w:val="Normal"/>
    <w:link w:val="FooterChar"/>
    <w:uiPriority w:val="99"/>
    <w:unhideWhenUsed/>
    <w:rsid w:val="00ED1558"/>
    <w:pPr>
      <w:tabs>
        <w:tab w:val="center" w:pos="4680"/>
        <w:tab w:val="right" w:pos="9360"/>
      </w:tabs>
    </w:pPr>
    <w:rPr>
      <w:rFonts w:asciiTheme="minorHAnsi" w:eastAsiaTheme="minorHAnsi" w:hAnsiTheme="minorHAnsi" w:cstheme="minorBidi"/>
      <w:lang w:eastAsia="en-US"/>
    </w:rPr>
  </w:style>
  <w:style w:type="character" w:customStyle="1" w:styleId="FooterChar">
    <w:name w:val="Footer Char"/>
    <w:basedOn w:val="DefaultParagraphFont"/>
    <w:link w:val="Footer"/>
    <w:uiPriority w:val="99"/>
    <w:rsid w:val="00ED1558"/>
  </w:style>
  <w:style w:type="character" w:styleId="PageNumber">
    <w:name w:val="page number"/>
    <w:basedOn w:val="DefaultParagraphFont"/>
    <w:uiPriority w:val="99"/>
    <w:semiHidden/>
    <w:unhideWhenUsed/>
    <w:rsid w:val="00ED1558"/>
  </w:style>
  <w:style w:type="paragraph" w:styleId="BalloonText">
    <w:name w:val="Balloon Text"/>
    <w:basedOn w:val="Normal"/>
    <w:link w:val="BalloonTextChar"/>
    <w:uiPriority w:val="99"/>
    <w:semiHidden/>
    <w:unhideWhenUsed/>
    <w:rsid w:val="00ED1558"/>
    <w:rPr>
      <w:rFonts w:eastAsiaTheme="minorHAnsi"/>
      <w:sz w:val="18"/>
      <w:szCs w:val="18"/>
      <w:lang w:eastAsia="en-US"/>
    </w:rPr>
  </w:style>
  <w:style w:type="character" w:customStyle="1" w:styleId="BalloonTextChar">
    <w:name w:val="Balloon Text Char"/>
    <w:basedOn w:val="DefaultParagraphFont"/>
    <w:link w:val="BalloonText"/>
    <w:uiPriority w:val="99"/>
    <w:semiHidden/>
    <w:rsid w:val="00ED1558"/>
    <w:rPr>
      <w:rFonts w:ascii="Times New Roman" w:hAnsi="Times New Roman" w:cs="Times New Roman"/>
      <w:sz w:val="18"/>
      <w:szCs w:val="18"/>
    </w:rPr>
  </w:style>
  <w:style w:type="character" w:styleId="Hyperlink">
    <w:name w:val="Hyperlink"/>
    <w:basedOn w:val="DefaultParagraphFont"/>
    <w:uiPriority w:val="99"/>
    <w:unhideWhenUsed/>
    <w:rsid w:val="00DC2887"/>
    <w:rPr>
      <w:color w:val="0563C1" w:themeColor="hyperlink"/>
      <w:u w:val="single"/>
    </w:rPr>
  </w:style>
  <w:style w:type="paragraph" w:styleId="Caption">
    <w:name w:val="caption"/>
    <w:basedOn w:val="Normal"/>
    <w:next w:val="Normal"/>
    <w:uiPriority w:val="35"/>
    <w:unhideWhenUsed/>
    <w:qFormat/>
    <w:rsid w:val="00090EE9"/>
    <w:pPr>
      <w:spacing w:after="200"/>
    </w:pPr>
    <w:rPr>
      <w:rFonts w:asciiTheme="minorHAnsi" w:eastAsiaTheme="minorHAnsi" w:hAnsiTheme="minorHAnsi" w:cstheme="minorBidi"/>
      <w:i/>
      <w:iCs/>
      <w:color w:val="44546A" w:themeColor="text2"/>
      <w:sz w:val="18"/>
      <w:szCs w:val="18"/>
      <w:lang w:eastAsia="en-US"/>
    </w:rPr>
  </w:style>
  <w:style w:type="character" w:customStyle="1" w:styleId="Heading2Char">
    <w:name w:val="Heading 2 Char"/>
    <w:basedOn w:val="DefaultParagraphFont"/>
    <w:link w:val="Heading2"/>
    <w:uiPriority w:val="9"/>
    <w:rsid w:val="009949E1"/>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863CA9"/>
    <w:rPr>
      <w:rFonts w:asciiTheme="majorHAnsi" w:eastAsiaTheme="majorEastAsia" w:hAnsiTheme="majorHAnsi" w:cstheme="majorBidi"/>
      <w:color w:val="1F3763" w:themeColor="accent1" w:themeShade="7F"/>
    </w:rPr>
  </w:style>
  <w:style w:type="table" w:styleId="GridTable7ColourfulAccent2">
    <w:name w:val="Grid Table 7 Colorful Accent 2"/>
    <w:basedOn w:val="TableNormal"/>
    <w:uiPriority w:val="52"/>
    <w:rsid w:val="003C172E"/>
    <w:rPr>
      <w:color w:val="C45911" w:themeColor="accent2" w:themeShade="BF"/>
      <w:sz w:val="22"/>
      <w:szCs w:val="22"/>
      <w:lang w:val="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eGrid">
    <w:name w:val="Table Grid"/>
    <w:basedOn w:val="TableNormal"/>
    <w:uiPriority w:val="39"/>
    <w:rsid w:val="00623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2226DE"/>
    <w:rPr>
      <w:sz w:val="20"/>
      <w:szCs w:val="20"/>
    </w:rPr>
  </w:style>
  <w:style w:type="character" w:customStyle="1" w:styleId="FootnoteTextChar">
    <w:name w:val="Footnote Text Char"/>
    <w:basedOn w:val="DefaultParagraphFont"/>
    <w:link w:val="FootnoteText"/>
    <w:uiPriority w:val="99"/>
    <w:semiHidden/>
    <w:rsid w:val="002226DE"/>
    <w:rPr>
      <w:rFonts w:ascii="Times New Roman" w:eastAsia="Times New Roman" w:hAnsi="Times New Roman" w:cs="Times New Roman"/>
      <w:sz w:val="20"/>
      <w:szCs w:val="20"/>
      <w:lang w:eastAsia="en-GB"/>
    </w:rPr>
  </w:style>
  <w:style w:type="character" w:styleId="FootnoteReference">
    <w:name w:val="footnote reference"/>
    <w:basedOn w:val="DefaultParagraphFont"/>
    <w:uiPriority w:val="99"/>
    <w:semiHidden/>
    <w:unhideWhenUsed/>
    <w:rsid w:val="002226DE"/>
    <w:rPr>
      <w:vertAlign w:val="superscript"/>
    </w:rPr>
  </w:style>
  <w:style w:type="character" w:customStyle="1" w:styleId="UnresolvedMention1">
    <w:name w:val="Unresolved Mention1"/>
    <w:basedOn w:val="DefaultParagraphFont"/>
    <w:uiPriority w:val="99"/>
    <w:semiHidden/>
    <w:unhideWhenUsed/>
    <w:rsid w:val="002226DE"/>
    <w:rPr>
      <w:color w:val="605E5C"/>
      <w:shd w:val="clear" w:color="auto" w:fill="E1DFDD"/>
    </w:rPr>
  </w:style>
  <w:style w:type="paragraph" w:styleId="TableofFigures">
    <w:name w:val="table of figures"/>
    <w:basedOn w:val="Normal"/>
    <w:next w:val="Normal"/>
    <w:uiPriority w:val="99"/>
    <w:unhideWhenUsed/>
    <w:rsid w:val="00796761"/>
    <w:rPr>
      <w:rFonts w:asciiTheme="minorHAnsi" w:hAnsiTheme="minorHAnsi"/>
      <w:i/>
      <w:iCs/>
      <w:sz w:val="20"/>
      <w:szCs w:val="20"/>
    </w:rPr>
  </w:style>
  <w:style w:type="table" w:styleId="GridTable1Light-Accent3">
    <w:name w:val="Grid Table 1 Light Accent 3"/>
    <w:basedOn w:val="TableNormal"/>
    <w:uiPriority w:val="46"/>
    <w:rsid w:val="000069A4"/>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069A4"/>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069A4"/>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4-Accent2">
    <w:name w:val="Grid Table 4 Accent 2"/>
    <w:basedOn w:val="TableNormal"/>
    <w:uiPriority w:val="49"/>
    <w:rsid w:val="000069A4"/>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styleId="NormalWeb">
    <w:name w:val="Normal (Web)"/>
    <w:basedOn w:val="Normal"/>
    <w:uiPriority w:val="99"/>
    <w:semiHidden/>
    <w:unhideWhenUsed/>
    <w:rsid w:val="00D51239"/>
    <w:pPr>
      <w:spacing w:before="100" w:beforeAutospacing="1" w:after="100" w:afterAutospacing="1"/>
    </w:pPr>
  </w:style>
  <w:style w:type="paragraph" w:styleId="Header">
    <w:name w:val="header"/>
    <w:basedOn w:val="Normal"/>
    <w:link w:val="HeaderChar"/>
    <w:uiPriority w:val="99"/>
    <w:unhideWhenUsed/>
    <w:rsid w:val="007B641F"/>
    <w:pPr>
      <w:tabs>
        <w:tab w:val="center" w:pos="4680"/>
        <w:tab w:val="right" w:pos="9360"/>
      </w:tabs>
    </w:pPr>
  </w:style>
  <w:style w:type="character" w:customStyle="1" w:styleId="HeaderChar">
    <w:name w:val="Header Char"/>
    <w:basedOn w:val="DefaultParagraphFont"/>
    <w:link w:val="Header"/>
    <w:uiPriority w:val="99"/>
    <w:rsid w:val="007B641F"/>
    <w:rPr>
      <w:rFonts w:ascii="Times New Roman" w:eastAsia="Times New Roman" w:hAnsi="Times New Roman" w:cs="Times New Roman"/>
      <w:lang w:eastAsia="en-GB"/>
    </w:rPr>
  </w:style>
  <w:style w:type="paragraph" w:styleId="Revision">
    <w:name w:val="Revision"/>
    <w:hidden/>
    <w:uiPriority w:val="99"/>
    <w:semiHidden/>
    <w:rsid w:val="00523D1C"/>
    <w:rPr>
      <w:rFonts w:ascii="Times New Roman" w:eastAsia="Times New Roman" w:hAnsi="Times New Roman" w:cs="Times New Roman"/>
      <w:lang w:eastAsia="en-GB"/>
    </w:rPr>
  </w:style>
  <w:style w:type="paragraph" w:styleId="ListParagraph">
    <w:name w:val="List Paragraph"/>
    <w:basedOn w:val="Normal"/>
    <w:uiPriority w:val="34"/>
    <w:qFormat/>
    <w:rsid w:val="00720E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534652">
      <w:bodyDiv w:val="1"/>
      <w:marLeft w:val="0"/>
      <w:marRight w:val="0"/>
      <w:marTop w:val="0"/>
      <w:marBottom w:val="0"/>
      <w:divBdr>
        <w:top w:val="none" w:sz="0" w:space="0" w:color="auto"/>
        <w:left w:val="none" w:sz="0" w:space="0" w:color="auto"/>
        <w:bottom w:val="none" w:sz="0" w:space="0" w:color="auto"/>
        <w:right w:val="none" w:sz="0" w:space="0" w:color="auto"/>
      </w:divBdr>
    </w:div>
    <w:div w:id="253173912">
      <w:bodyDiv w:val="1"/>
      <w:marLeft w:val="0"/>
      <w:marRight w:val="0"/>
      <w:marTop w:val="0"/>
      <w:marBottom w:val="0"/>
      <w:divBdr>
        <w:top w:val="none" w:sz="0" w:space="0" w:color="auto"/>
        <w:left w:val="none" w:sz="0" w:space="0" w:color="auto"/>
        <w:bottom w:val="none" w:sz="0" w:space="0" w:color="auto"/>
        <w:right w:val="none" w:sz="0" w:space="0" w:color="auto"/>
      </w:divBdr>
    </w:div>
    <w:div w:id="507445545">
      <w:bodyDiv w:val="1"/>
      <w:marLeft w:val="0"/>
      <w:marRight w:val="0"/>
      <w:marTop w:val="0"/>
      <w:marBottom w:val="0"/>
      <w:divBdr>
        <w:top w:val="none" w:sz="0" w:space="0" w:color="auto"/>
        <w:left w:val="none" w:sz="0" w:space="0" w:color="auto"/>
        <w:bottom w:val="none" w:sz="0" w:space="0" w:color="auto"/>
        <w:right w:val="none" w:sz="0" w:space="0" w:color="auto"/>
      </w:divBdr>
    </w:div>
    <w:div w:id="570384657">
      <w:bodyDiv w:val="1"/>
      <w:marLeft w:val="0"/>
      <w:marRight w:val="0"/>
      <w:marTop w:val="0"/>
      <w:marBottom w:val="0"/>
      <w:divBdr>
        <w:top w:val="none" w:sz="0" w:space="0" w:color="auto"/>
        <w:left w:val="none" w:sz="0" w:space="0" w:color="auto"/>
        <w:bottom w:val="none" w:sz="0" w:space="0" w:color="auto"/>
        <w:right w:val="none" w:sz="0" w:space="0" w:color="auto"/>
      </w:divBdr>
    </w:div>
    <w:div w:id="925575445">
      <w:bodyDiv w:val="1"/>
      <w:marLeft w:val="0"/>
      <w:marRight w:val="0"/>
      <w:marTop w:val="0"/>
      <w:marBottom w:val="0"/>
      <w:divBdr>
        <w:top w:val="none" w:sz="0" w:space="0" w:color="auto"/>
        <w:left w:val="none" w:sz="0" w:space="0" w:color="auto"/>
        <w:bottom w:val="none" w:sz="0" w:space="0" w:color="auto"/>
        <w:right w:val="none" w:sz="0" w:space="0" w:color="auto"/>
      </w:divBdr>
    </w:div>
    <w:div w:id="1080567704">
      <w:bodyDiv w:val="1"/>
      <w:marLeft w:val="0"/>
      <w:marRight w:val="0"/>
      <w:marTop w:val="0"/>
      <w:marBottom w:val="0"/>
      <w:divBdr>
        <w:top w:val="none" w:sz="0" w:space="0" w:color="auto"/>
        <w:left w:val="none" w:sz="0" w:space="0" w:color="auto"/>
        <w:bottom w:val="none" w:sz="0" w:space="0" w:color="auto"/>
        <w:right w:val="none" w:sz="0" w:space="0" w:color="auto"/>
      </w:divBdr>
    </w:div>
    <w:div w:id="1163594256">
      <w:bodyDiv w:val="1"/>
      <w:marLeft w:val="0"/>
      <w:marRight w:val="0"/>
      <w:marTop w:val="0"/>
      <w:marBottom w:val="0"/>
      <w:divBdr>
        <w:top w:val="none" w:sz="0" w:space="0" w:color="auto"/>
        <w:left w:val="none" w:sz="0" w:space="0" w:color="auto"/>
        <w:bottom w:val="none" w:sz="0" w:space="0" w:color="auto"/>
        <w:right w:val="none" w:sz="0" w:space="0" w:color="auto"/>
      </w:divBdr>
    </w:div>
    <w:div w:id="1179850983">
      <w:bodyDiv w:val="1"/>
      <w:marLeft w:val="0"/>
      <w:marRight w:val="0"/>
      <w:marTop w:val="0"/>
      <w:marBottom w:val="0"/>
      <w:divBdr>
        <w:top w:val="none" w:sz="0" w:space="0" w:color="auto"/>
        <w:left w:val="none" w:sz="0" w:space="0" w:color="auto"/>
        <w:bottom w:val="none" w:sz="0" w:space="0" w:color="auto"/>
        <w:right w:val="none" w:sz="0" w:space="0" w:color="auto"/>
      </w:divBdr>
    </w:div>
    <w:div w:id="1197044693">
      <w:bodyDiv w:val="1"/>
      <w:marLeft w:val="0"/>
      <w:marRight w:val="0"/>
      <w:marTop w:val="0"/>
      <w:marBottom w:val="0"/>
      <w:divBdr>
        <w:top w:val="none" w:sz="0" w:space="0" w:color="auto"/>
        <w:left w:val="none" w:sz="0" w:space="0" w:color="auto"/>
        <w:bottom w:val="none" w:sz="0" w:space="0" w:color="auto"/>
        <w:right w:val="none" w:sz="0" w:space="0" w:color="auto"/>
      </w:divBdr>
    </w:div>
    <w:div w:id="1239444504">
      <w:bodyDiv w:val="1"/>
      <w:marLeft w:val="0"/>
      <w:marRight w:val="0"/>
      <w:marTop w:val="0"/>
      <w:marBottom w:val="0"/>
      <w:divBdr>
        <w:top w:val="none" w:sz="0" w:space="0" w:color="auto"/>
        <w:left w:val="none" w:sz="0" w:space="0" w:color="auto"/>
        <w:bottom w:val="none" w:sz="0" w:space="0" w:color="auto"/>
        <w:right w:val="none" w:sz="0" w:space="0" w:color="auto"/>
      </w:divBdr>
    </w:div>
    <w:div w:id="1473213745">
      <w:bodyDiv w:val="1"/>
      <w:marLeft w:val="0"/>
      <w:marRight w:val="0"/>
      <w:marTop w:val="0"/>
      <w:marBottom w:val="0"/>
      <w:divBdr>
        <w:top w:val="none" w:sz="0" w:space="0" w:color="auto"/>
        <w:left w:val="none" w:sz="0" w:space="0" w:color="auto"/>
        <w:bottom w:val="none" w:sz="0" w:space="0" w:color="auto"/>
        <w:right w:val="none" w:sz="0" w:space="0" w:color="auto"/>
      </w:divBdr>
    </w:div>
    <w:div w:id="1542550219">
      <w:bodyDiv w:val="1"/>
      <w:marLeft w:val="0"/>
      <w:marRight w:val="0"/>
      <w:marTop w:val="0"/>
      <w:marBottom w:val="0"/>
      <w:divBdr>
        <w:top w:val="none" w:sz="0" w:space="0" w:color="auto"/>
        <w:left w:val="none" w:sz="0" w:space="0" w:color="auto"/>
        <w:bottom w:val="none" w:sz="0" w:space="0" w:color="auto"/>
        <w:right w:val="none" w:sz="0" w:space="0" w:color="auto"/>
      </w:divBdr>
    </w:div>
    <w:div w:id="1559512999">
      <w:bodyDiv w:val="1"/>
      <w:marLeft w:val="0"/>
      <w:marRight w:val="0"/>
      <w:marTop w:val="0"/>
      <w:marBottom w:val="0"/>
      <w:divBdr>
        <w:top w:val="none" w:sz="0" w:space="0" w:color="auto"/>
        <w:left w:val="none" w:sz="0" w:space="0" w:color="auto"/>
        <w:bottom w:val="none" w:sz="0" w:space="0" w:color="auto"/>
        <w:right w:val="none" w:sz="0" w:space="0" w:color="auto"/>
      </w:divBdr>
    </w:div>
    <w:div w:id="1663196073">
      <w:bodyDiv w:val="1"/>
      <w:marLeft w:val="0"/>
      <w:marRight w:val="0"/>
      <w:marTop w:val="0"/>
      <w:marBottom w:val="0"/>
      <w:divBdr>
        <w:top w:val="none" w:sz="0" w:space="0" w:color="auto"/>
        <w:left w:val="none" w:sz="0" w:space="0" w:color="auto"/>
        <w:bottom w:val="none" w:sz="0" w:space="0" w:color="auto"/>
        <w:right w:val="none" w:sz="0" w:space="0" w:color="auto"/>
      </w:divBdr>
    </w:div>
    <w:div w:id="1708942658">
      <w:bodyDiv w:val="1"/>
      <w:marLeft w:val="0"/>
      <w:marRight w:val="0"/>
      <w:marTop w:val="0"/>
      <w:marBottom w:val="0"/>
      <w:divBdr>
        <w:top w:val="none" w:sz="0" w:space="0" w:color="auto"/>
        <w:left w:val="none" w:sz="0" w:space="0" w:color="auto"/>
        <w:bottom w:val="none" w:sz="0" w:space="0" w:color="auto"/>
        <w:right w:val="none" w:sz="0" w:space="0" w:color="auto"/>
      </w:divBdr>
    </w:div>
    <w:div w:id="180835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4.xml"/><Relationship Id="rId18" Type="http://schemas.openxmlformats.org/officeDocument/2006/relationships/image" Target="media/image2.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chart" Target="charts/chart8.xml"/><Relationship Id="rId2" Type="http://schemas.openxmlformats.org/officeDocument/2006/relationships/customXml" Target="../customXml/item2.xml"/><Relationship Id="rId16" Type="http://schemas.openxmlformats.org/officeDocument/2006/relationships/chart" Target="charts/chart7.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5" Type="http://schemas.openxmlformats.org/officeDocument/2006/relationships/settings" Target="settings.xml"/><Relationship Id="rId15" Type="http://schemas.openxmlformats.org/officeDocument/2006/relationships/chart" Target="charts/chart6.xml"/><Relationship Id="rId10" Type="http://schemas.openxmlformats.org/officeDocument/2006/relationships/chart" Target="charts/chart2.xm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chart" Target="charts/chart1.xml"/><Relationship Id="rId14" Type="http://schemas.openxmlformats.org/officeDocument/2006/relationships/chart" Target="charts/chart5.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atlas.cid.harvard.edu/rankings" TargetMode="External"/><Relationship Id="rId1" Type="http://schemas.openxmlformats.org/officeDocument/2006/relationships/hyperlink" Target="http://atlas.cid.harvard.edu/growth-projections"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D:\ANN\AN\EA\Growth%20Forum\part1...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ANN\AN\EA\Growth%20Forum\part1...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D:\ANN\AN\EA\Growth%20Forum\part1...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Users\johnayre\Documents\MOFPED_Work\Growth%20Forums\Economic%20complexity%20index.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C:\Carol%20EA\Dr.%20Albert%20Adhoc\Growth%20forum%20paper%20enhancing%20econ%20growth%202019.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8.xml"/><Relationship Id="rId1" Type="http://schemas.microsoft.com/office/2011/relationships/chartStyle" Target="style8.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1"/>
          <c:order val="1"/>
          <c:tx>
            <c:strRef>
              <c:f>Sheet1!$A$3</c:f>
              <c:strCache>
                <c:ptCount val="1"/>
                <c:pt idx="0">
                  <c:v>Agriculture, forestry and fishing</c:v>
                </c:pt>
              </c:strCache>
            </c:strRef>
          </c:tx>
          <c:spPr>
            <a:solidFill>
              <a:schemeClr val="accent2"/>
            </a:solidFill>
            <a:ln>
              <a:noFill/>
            </a:ln>
            <a:effectLst/>
          </c:spPr>
          <c:invertIfNegative val="0"/>
          <c:cat>
            <c:strRef>
              <c:f>Sheet1!$B$1:$K$1</c:f>
              <c:strCache>
                <c:ptCount val="10"/>
                <c:pt idx="0">
                  <c:v>2009/10</c:v>
                </c:pt>
                <c:pt idx="1">
                  <c:v>2010/11</c:v>
                </c:pt>
                <c:pt idx="2">
                  <c:v>2011/12</c:v>
                </c:pt>
                <c:pt idx="3">
                  <c:v>2012/13</c:v>
                </c:pt>
                <c:pt idx="4">
                  <c:v>2013/14</c:v>
                </c:pt>
                <c:pt idx="5">
                  <c:v>2014/15</c:v>
                </c:pt>
                <c:pt idx="6">
                  <c:v>2015/16</c:v>
                </c:pt>
                <c:pt idx="7">
                  <c:v>2016/17</c:v>
                </c:pt>
                <c:pt idx="8">
                  <c:v>2017/18</c:v>
                </c:pt>
                <c:pt idx="9">
                  <c:v>2018/19</c:v>
                </c:pt>
              </c:strCache>
            </c:strRef>
          </c:cat>
          <c:val>
            <c:numRef>
              <c:f>Sheet1!$B$3:$K$3</c:f>
              <c:numCache>
                <c:formatCode>0.0</c:formatCode>
                <c:ptCount val="10"/>
                <c:pt idx="0">
                  <c:v>2.8769585270974174</c:v>
                </c:pt>
                <c:pt idx="1">
                  <c:v>3.1100634955016249</c:v>
                </c:pt>
                <c:pt idx="2">
                  <c:v>0.59414862712838801</c:v>
                </c:pt>
                <c:pt idx="3">
                  <c:v>1.8620029574987429</c:v>
                </c:pt>
                <c:pt idx="4">
                  <c:v>2.6976982953957673</c:v>
                </c:pt>
                <c:pt idx="5">
                  <c:v>2.3457162388595743</c:v>
                </c:pt>
                <c:pt idx="6">
                  <c:v>2.809330656500042</c:v>
                </c:pt>
                <c:pt idx="7">
                  <c:v>1.6102504544909468</c:v>
                </c:pt>
                <c:pt idx="8">
                  <c:v>3.8120899271694153</c:v>
                </c:pt>
                <c:pt idx="9">
                  <c:v>3.8187009278806583</c:v>
                </c:pt>
              </c:numCache>
            </c:numRef>
          </c:val>
          <c:extLst>
            <c:ext xmlns:c16="http://schemas.microsoft.com/office/drawing/2014/chart" uri="{C3380CC4-5D6E-409C-BE32-E72D297353CC}">
              <c16:uniqueId val="{00000000-AD5E-6641-89CC-598F145C9FF3}"/>
            </c:ext>
          </c:extLst>
        </c:ser>
        <c:ser>
          <c:idx val="2"/>
          <c:order val="2"/>
          <c:tx>
            <c:strRef>
              <c:f>Sheet1!$A$4</c:f>
              <c:strCache>
                <c:ptCount val="1"/>
                <c:pt idx="0">
                  <c:v>Industry</c:v>
                </c:pt>
              </c:strCache>
            </c:strRef>
          </c:tx>
          <c:spPr>
            <a:solidFill>
              <a:schemeClr val="accent3"/>
            </a:solidFill>
            <a:ln>
              <a:noFill/>
            </a:ln>
            <a:effectLst/>
          </c:spPr>
          <c:invertIfNegative val="0"/>
          <c:cat>
            <c:strRef>
              <c:f>Sheet1!$B$1:$K$1</c:f>
              <c:strCache>
                <c:ptCount val="10"/>
                <c:pt idx="0">
                  <c:v>2009/10</c:v>
                </c:pt>
                <c:pt idx="1">
                  <c:v>2010/11</c:v>
                </c:pt>
                <c:pt idx="2">
                  <c:v>2011/12</c:v>
                </c:pt>
                <c:pt idx="3">
                  <c:v>2012/13</c:v>
                </c:pt>
                <c:pt idx="4">
                  <c:v>2013/14</c:v>
                </c:pt>
                <c:pt idx="5">
                  <c:v>2014/15</c:v>
                </c:pt>
                <c:pt idx="6">
                  <c:v>2015/16</c:v>
                </c:pt>
                <c:pt idx="7">
                  <c:v>2016/17</c:v>
                </c:pt>
                <c:pt idx="8">
                  <c:v>2017/18</c:v>
                </c:pt>
                <c:pt idx="9">
                  <c:v>2018/19</c:v>
                </c:pt>
              </c:strCache>
            </c:strRef>
          </c:cat>
          <c:val>
            <c:numRef>
              <c:f>Sheet1!$B$4:$K$4</c:f>
              <c:numCache>
                <c:formatCode>0.0</c:formatCode>
                <c:ptCount val="10"/>
                <c:pt idx="0">
                  <c:v>7.8662186588071892</c:v>
                </c:pt>
                <c:pt idx="1">
                  <c:v>11.297059972492152</c:v>
                </c:pt>
                <c:pt idx="2">
                  <c:v>3.0565898686663706</c:v>
                </c:pt>
                <c:pt idx="3">
                  <c:v>2.1425314344373891</c:v>
                </c:pt>
                <c:pt idx="4">
                  <c:v>6.3417633722786526</c:v>
                </c:pt>
                <c:pt idx="5">
                  <c:v>7.7536548000414651</c:v>
                </c:pt>
                <c:pt idx="6">
                  <c:v>4.5526067405483817</c:v>
                </c:pt>
                <c:pt idx="7">
                  <c:v>3.3963427844845295</c:v>
                </c:pt>
                <c:pt idx="8">
                  <c:v>6.1239607506704319</c:v>
                </c:pt>
                <c:pt idx="9">
                  <c:v>5.8166757464406027</c:v>
                </c:pt>
              </c:numCache>
            </c:numRef>
          </c:val>
          <c:extLst>
            <c:ext xmlns:c16="http://schemas.microsoft.com/office/drawing/2014/chart" uri="{C3380CC4-5D6E-409C-BE32-E72D297353CC}">
              <c16:uniqueId val="{00000001-AD5E-6641-89CC-598F145C9FF3}"/>
            </c:ext>
          </c:extLst>
        </c:ser>
        <c:ser>
          <c:idx val="3"/>
          <c:order val="3"/>
          <c:tx>
            <c:strRef>
              <c:f>Sheet1!$A$5</c:f>
              <c:strCache>
                <c:ptCount val="1"/>
                <c:pt idx="0">
                  <c:v>Services</c:v>
                </c:pt>
              </c:strCache>
            </c:strRef>
          </c:tx>
          <c:spPr>
            <a:solidFill>
              <a:schemeClr val="accent4"/>
            </a:solidFill>
            <a:ln>
              <a:noFill/>
            </a:ln>
            <a:effectLst/>
          </c:spPr>
          <c:invertIfNegative val="0"/>
          <c:cat>
            <c:strRef>
              <c:f>Sheet1!$B$1:$K$1</c:f>
              <c:strCache>
                <c:ptCount val="10"/>
                <c:pt idx="0">
                  <c:v>2009/10</c:v>
                </c:pt>
                <c:pt idx="1">
                  <c:v>2010/11</c:v>
                </c:pt>
                <c:pt idx="2">
                  <c:v>2011/12</c:v>
                </c:pt>
                <c:pt idx="3">
                  <c:v>2012/13</c:v>
                </c:pt>
                <c:pt idx="4">
                  <c:v>2013/14</c:v>
                </c:pt>
                <c:pt idx="5">
                  <c:v>2014/15</c:v>
                </c:pt>
                <c:pt idx="6">
                  <c:v>2015/16</c:v>
                </c:pt>
                <c:pt idx="7">
                  <c:v>2016/17</c:v>
                </c:pt>
                <c:pt idx="8">
                  <c:v>2017/18</c:v>
                </c:pt>
                <c:pt idx="9">
                  <c:v>2018/19</c:v>
                </c:pt>
              </c:strCache>
            </c:strRef>
          </c:cat>
          <c:val>
            <c:numRef>
              <c:f>Sheet1!$B$5:$K$5</c:f>
              <c:numCache>
                <c:formatCode>0.0</c:formatCode>
                <c:ptCount val="10"/>
                <c:pt idx="0">
                  <c:v>7.0403119643374534</c:v>
                </c:pt>
                <c:pt idx="1">
                  <c:v>11.706616873847686</c:v>
                </c:pt>
                <c:pt idx="2">
                  <c:v>4.0483373849517612</c:v>
                </c:pt>
                <c:pt idx="3">
                  <c:v>5.4326331076587131</c:v>
                </c:pt>
                <c:pt idx="4">
                  <c:v>5.4205625169500671</c:v>
                </c:pt>
                <c:pt idx="5">
                  <c:v>4.8062872742312246</c:v>
                </c:pt>
                <c:pt idx="6">
                  <c:v>6.1799247087771292</c:v>
                </c:pt>
                <c:pt idx="7">
                  <c:v>5.4197489612872518</c:v>
                </c:pt>
                <c:pt idx="8">
                  <c:v>7.8352821872746281</c:v>
                </c:pt>
                <c:pt idx="9">
                  <c:v>7.2177525158823252</c:v>
                </c:pt>
              </c:numCache>
            </c:numRef>
          </c:val>
          <c:extLst>
            <c:ext xmlns:c16="http://schemas.microsoft.com/office/drawing/2014/chart" uri="{C3380CC4-5D6E-409C-BE32-E72D297353CC}">
              <c16:uniqueId val="{00000002-AD5E-6641-89CC-598F145C9FF3}"/>
            </c:ext>
          </c:extLst>
        </c:ser>
        <c:dLbls>
          <c:showLegendKey val="0"/>
          <c:showVal val="0"/>
          <c:showCatName val="0"/>
          <c:showSerName val="0"/>
          <c:showPercent val="0"/>
          <c:showBubbleSize val="0"/>
        </c:dLbls>
        <c:gapWidth val="219"/>
        <c:overlap val="-27"/>
        <c:axId val="6541048"/>
        <c:axId val="6542224"/>
      </c:barChart>
      <c:lineChart>
        <c:grouping val="standard"/>
        <c:varyColors val="0"/>
        <c:ser>
          <c:idx val="0"/>
          <c:order val="0"/>
          <c:tx>
            <c:strRef>
              <c:f>Sheet1!$A$2</c:f>
              <c:strCache>
                <c:ptCount val="1"/>
                <c:pt idx="0">
                  <c:v>GDP at market prices</c:v>
                </c:pt>
              </c:strCache>
            </c:strRef>
          </c:tx>
          <c:spPr>
            <a:ln w="28575" cap="rnd">
              <a:solidFill>
                <a:schemeClr val="accent1"/>
              </a:solidFill>
              <a:round/>
            </a:ln>
            <a:effectLst/>
          </c:spPr>
          <c:marker>
            <c:symbol val="none"/>
          </c:marker>
          <c:dLbls>
            <c:dLbl>
              <c:idx val="0"/>
              <c:layout>
                <c:manualLayout>
                  <c:x val="-1.2932416153080644E-2"/>
                  <c:y val="-0.16667863098309296"/>
                </c:manualLayout>
              </c:layout>
              <c:dLblPos val="r"/>
              <c:showLegendKey val="0"/>
              <c:showVal val="1"/>
              <c:showCatName val="0"/>
              <c:showSerName val="0"/>
              <c:showPercent val="0"/>
              <c:showBubbleSize val="0"/>
              <c:separator>, </c:separator>
              <c:extLst>
                <c:ext xmlns:c15="http://schemas.microsoft.com/office/drawing/2012/chart" uri="{CE6537A1-D6FC-4f65-9D91-7224C49458BB}"/>
                <c:ext xmlns:c16="http://schemas.microsoft.com/office/drawing/2014/chart" uri="{C3380CC4-5D6E-409C-BE32-E72D297353CC}">
                  <c16:uniqueId val="{00000004-AD5E-6641-89CC-598F145C9FF3}"/>
                </c:ext>
              </c:extLst>
            </c:dLbl>
            <c:dLbl>
              <c:idx val="1"/>
              <c:layout>
                <c:manualLayout>
                  <c:x val="3.8065366552019135E-2"/>
                  <c:y val="-6.6963531267993232E-2"/>
                </c:manualLayout>
              </c:layout>
              <c:dLblPos val="r"/>
              <c:showLegendKey val="0"/>
              <c:showVal val="1"/>
              <c:showCatName val="0"/>
              <c:showSerName val="0"/>
              <c:showPercent val="0"/>
              <c:showBubbleSize val="0"/>
              <c:separator>, </c:separator>
              <c:extLst>
                <c:ext xmlns:c15="http://schemas.microsoft.com/office/drawing/2012/chart" uri="{CE6537A1-D6FC-4f65-9D91-7224C49458BB}"/>
                <c:ext xmlns:c16="http://schemas.microsoft.com/office/drawing/2014/chart" uri="{C3380CC4-5D6E-409C-BE32-E72D297353CC}">
                  <c16:uniqueId val="{00000005-AD5E-6641-89CC-598F145C9FF3}"/>
                </c:ext>
              </c:extLst>
            </c:dLbl>
            <c:dLbl>
              <c:idx val="4"/>
              <c:layout>
                <c:manualLayout>
                  <c:x val="-6.6147493758402148E-2"/>
                  <c:y val="-8.1208545513007505E-2"/>
                </c:manualLayout>
              </c:layout>
              <c:dLblPos val="r"/>
              <c:showLegendKey val="0"/>
              <c:showVal val="1"/>
              <c:showCatName val="0"/>
              <c:showSerName val="0"/>
              <c:showPercent val="0"/>
              <c:showBubbleSize val="0"/>
              <c:separator>, </c:separator>
              <c:extLst>
                <c:ext xmlns:c15="http://schemas.microsoft.com/office/drawing/2012/chart" uri="{CE6537A1-D6FC-4f65-9D91-7224C49458BB}"/>
                <c:ext xmlns:c16="http://schemas.microsoft.com/office/drawing/2014/chart" uri="{C3380CC4-5D6E-409C-BE32-E72D297353CC}">
                  <c16:uniqueId val="{00000006-AD5E-6641-89CC-598F145C9FF3}"/>
                </c:ext>
              </c:extLst>
            </c:dLbl>
            <c:dLbl>
              <c:idx val="5"/>
              <c:layout>
                <c:manualLayout>
                  <c:x val="3.5848071651797486E-2"/>
                  <c:y val="-0.1096985740030359"/>
                </c:manualLayout>
              </c:layout>
              <c:dLblPos val="r"/>
              <c:showLegendKey val="0"/>
              <c:showVal val="1"/>
              <c:showCatName val="0"/>
              <c:showSerName val="0"/>
              <c:showPercent val="0"/>
              <c:showBubbleSize val="0"/>
              <c:separator>, </c:separator>
              <c:extLst>
                <c:ext xmlns:c15="http://schemas.microsoft.com/office/drawing/2012/chart" uri="{CE6537A1-D6FC-4f65-9D91-7224C49458BB}"/>
                <c:ext xmlns:c16="http://schemas.microsoft.com/office/drawing/2014/chart" uri="{C3380CC4-5D6E-409C-BE32-E72D297353CC}">
                  <c16:uniqueId val="{00000007-AD5E-6641-89CC-598F145C9FF3}"/>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Times New Roman" panose="02020603050405020304" pitchFamily="18" charset="0"/>
                  </a:defRPr>
                </a:pPr>
                <a:endParaRPr lang="en-US"/>
              </a:p>
            </c:txPr>
            <c:dLblPos val="t"/>
            <c:showLegendKey val="0"/>
            <c:showVal val="1"/>
            <c:showCatName val="0"/>
            <c:showSerName val="0"/>
            <c:showPercent val="0"/>
            <c:showBubbleSize val="0"/>
            <c:separator>, </c:separator>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Sheet1!$B$1:$K$1</c:f>
              <c:strCache>
                <c:ptCount val="10"/>
                <c:pt idx="0">
                  <c:v>2009/10</c:v>
                </c:pt>
                <c:pt idx="1">
                  <c:v>2010/11</c:v>
                </c:pt>
                <c:pt idx="2">
                  <c:v>2011/12</c:v>
                </c:pt>
                <c:pt idx="3">
                  <c:v>2012/13</c:v>
                </c:pt>
                <c:pt idx="4">
                  <c:v>2013/14</c:v>
                </c:pt>
                <c:pt idx="5">
                  <c:v>2014/15</c:v>
                </c:pt>
                <c:pt idx="6">
                  <c:v>2015/16</c:v>
                </c:pt>
                <c:pt idx="7">
                  <c:v>2016/17</c:v>
                </c:pt>
                <c:pt idx="8">
                  <c:v>2017/18</c:v>
                </c:pt>
                <c:pt idx="9">
                  <c:v>2018/19</c:v>
                </c:pt>
              </c:strCache>
            </c:strRef>
          </c:cat>
          <c:val>
            <c:numRef>
              <c:f>Sheet1!$B$2:$K$2</c:f>
              <c:numCache>
                <c:formatCode>0.0</c:formatCode>
                <c:ptCount val="10"/>
                <c:pt idx="0">
                  <c:v>5.637611637986284</c:v>
                </c:pt>
                <c:pt idx="1">
                  <c:v>9.391655492883654</c:v>
                </c:pt>
                <c:pt idx="2">
                  <c:v>3.8374556059454168</c:v>
                </c:pt>
                <c:pt idx="3">
                  <c:v>3.5869058263229281</c:v>
                </c:pt>
                <c:pt idx="4">
                  <c:v>5.1063073242908263</c:v>
                </c:pt>
                <c:pt idx="5">
                  <c:v>5.1878598625474837</c:v>
                </c:pt>
                <c:pt idx="6">
                  <c:v>4.7810002914463245</c:v>
                </c:pt>
                <c:pt idx="7">
                  <c:v>3.8630237568656023</c:v>
                </c:pt>
                <c:pt idx="8">
                  <c:v>6.1523549127498134</c:v>
                </c:pt>
                <c:pt idx="9">
                  <c:v>6.0591102333476865</c:v>
                </c:pt>
              </c:numCache>
            </c:numRef>
          </c:val>
          <c:smooth val="0"/>
          <c:extLst>
            <c:ext xmlns:c16="http://schemas.microsoft.com/office/drawing/2014/chart" uri="{C3380CC4-5D6E-409C-BE32-E72D297353CC}">
              <c16:uniqueId val="{00000003-AD5E-6641-89CC-598F145C9FF3}"/>
            </c:ext>
          </c:extLst>
        </c:ser>
        <c:dLbls>
          <c:showLegendKey val="0"/>
          <c:showVal val="0"/>
          <c:showCatName val="0"/>
          <c:showSerName val="0"/>
          <c:showPercent val="0"/>
          <c:showBubbleSize val="0"/>
        </c:dLbls>
        <c:marker val="1"/>
        <c:smooth val="0"/>
        <c:axId val="6541048"/>
        <c:axId val="6542224"/>
      </c:lineChart>
      <c:catAx>
        <c:axId val="65410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6542224"/>
        <c:crosses val="autoZero"/>
        <c:auto val="1"/>
        <c:lblAlgn val="ctr"/>
        <c:lblOffset val="100"/>
        <c:noMultiLvlLbl val="0"/>
      </c:catAx>
      <c:valAx>
        <c:axId val="6542224"/>
        <c:scaling>
          <c:orientation val="minMax"/>
        </c:scaling>
        <c:delete val="0"/>
        <c:axPos val="l"/>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Times New Roman" panose="02020603050405020304" pitchFamily="18" charset="0"/>
              </a:defRPr>
            </a:pPr>
            <a:endParaRPr lang="en-US"/>
          </a:p>
        </c:txPr>
        <c:crossAx val="654104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Times New Roman" panose="02020603050405020304" pitchFamily="18"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1"/>
          <c:order val="1"/>
          <c:tx>
            <c:strRef>
              <c:f>CY!$A$3</c:f>
              <c:strCache>
                <c:ptCount val="1"/>
                <c:pt idx="0">
                  <c:v>Agriculture, forestry and fishing</c:v>
                </c:pt>
              </c:strCache>
            </c:strRef>
          </c:tx>
          <c:spPr>
            <a:solidFill>
              <a:schemeClr val="accent2"/>
            </a:solidFill>
            <a:ln>
              <a:noFill/>
            </a:ln>
            <a:effectLst/>
          </c:spPr>
          <c:invertIfNegative val="0"/>
          <c:cat>
            <c:numRef>
              <c:f>CY!$B$1:$K$1</c:f>
              <c:numCache>
                <c:formatCode>0</c:formatCode>
                <c:ptCount val="10"/>
                <c:pt idx="0">
                  <c:v>2009</c:v>
                </c:pt>
                <c:pt idx="1">
                  <c:v>2010</c:v>
                </c:pt>
                <c:pt idx="2">
                  <c:v>2011</c:v>
                </c:pt>
                <c:pt idx="3">
                  <c:v>2012</c:v>
                </c:pt>
                <c:pt idx="4">
                  <c:v>2013</c:v>
                </c:pt>
                <c:pt idx="5">
                  <c:v>2014</c:v>
                </c:pt>
                <c:pt idx="6">
                  <c:v>2015</c:v>
                </c:pt>
                <c:pt idx="7">
                  <c:v>2016</c:v>
                </c:pt>
                <c:pt idx="8">
                  <c:v>2017</c:v>
                </c:pt>
                <c:pt idx="9">
                  <c:v>2018</c:v>
                </c:pt>
              </c:numCache>
            </c:numRef>
          </c:cat>
          <c:val>
            <c:numRef>
              <c:f>CY!$B$3:$K$3</c:f>
              <c:numCache>
                <c:formatCode>0.0</c:formatCode>
                <c:ptCount val="10"/>
                <c:pt idx="0">
                  <c:v>5.6228612587278404</c:v>
                </c:pt>
                <c:pt idx="1">
                  <c:v>2.5519743790179961</c:v>
                </c:pt>
                <c:pt idx="2">
                  <c:v>1.8994165173791044</c:v>
                </c:pt>
                <c:pt idx="3">
                  <c:v>0.34508149203751337</c:v>
                </c:pt>
                <c:pt idx="4">
                  <c:v>2.6488830248184714</c:v>
                </c:pt>
                <c:pt idx="5">
                  <c:v>2.7007780339028731</c:v>
                </c:pt>
                <c:pt idx="6">
                  <c:v>3.9907477157066662</c:v>
                </c:pt>
                <c:pt idx="7">
                  <c:v>-0.29393592174399297</c:v>
                </c:pt>
                <c:pt idx="8">
                  <c:v>4.5285520940492985</c:v>
                </c:pt>
                <c:pt idx="9">
                  <c:v>4.9690589060727541</c:v>
                </c:pt>
              </c:numCache>
            </c:numRef>
          </c:val>
          <c:extLst>
            <c:ext xmlns:c16="http://schemas.microsoft.com/office/drawing/2014/chart" uri="{C3380CC4-5D6E-409C-BE32-E72D297353CC}">
              <c16:uniqueId val="{00000000-7957-E845-A499-F1A7C53EAECE}"/>
            </c:ext>
          </c:extLst>
        </c:ser>
        <c:ser>
          <c:idx val="2"/>
          <c:order val="2"/>
          <c:tx>
            <c:strRef>
              <c:f>CY!$A$4</c:f>
              <c:strCache>
                <c:ptCount val="1"/>
                <c:pt idx="0">
                  <c:v>Industry</c:v>
                </c:pt>
              </c:strCache>
            </c:strRef>
          </c:tx>
          <c:spPr>
            <a:solidFill>
              <a:schemeClr val="accent3"/>
            </a:solidFill>
            <a:ln>
              <a:noFill/>
            </a:ln>
            <a:effectLst/>
          </c:spPr>
          <c:invertIfNegative val="0"/>
          <c:cat>
            <c:numRef>
              <c:f>CY!$B$1:$K$1</c:f>
              <c:numCache>
                <c:formatCode>0</c:formatCode>
                <c:ptCount val="10"/>
                <c:pt idx="0">
                  <c:v>2009</c:v>
                </c:pt>
                <c:pt idx="1">
                  <c:v>2010</c:v>
                </c:pt>
                <c:pt idx="2">
                  <c:v>2011</c:v>
                </c:pt>
                <c:pt idx="3">
                  <c:v>2012</c:v>
                </c:pt>
                <c:pt idx="4">
                  <c:v>2013</c:v>
                </c:pt>
                <c:pt idx="5">
                  <c:v>2014</c:v>
                </c:pt>
                <c:pt idx="6">
                  <c:v>2015</c:v>
                </c:pt>
                <c:pt idx="7">
                  <c:v>2016</c:v>
                </c:pt>
                <c:pt idx="8">
                  <c:v>2017</c:v>
                </c:pt>
                <c:pt idx="9">
                  <c:v>2018</c:v>
                </c:pt>
              </c:numCache>
            </c:numRef>
          </c:cat>
          <c:val>
            <c:numRef>
              <c:f>CY!$B$4:$K$4</c:f>
              <c:numCache>
                <c:formatCode>0.0</c:formatCode>
                <c:ptCount val="10"/>
                <c:pt idx="0">
                  <c:v>7.3102721072195509</c:v>
                </c:pt>
                <c:pt idx="1">
                  <c:v>6.7720298944285329</c:v>
                </c:pt>
                <c:pt idx="2">
                  <c:v>10.433278950010493</c:v>
                </c:pt>
                <c:pt idx="3">
                  <c:v>1.1613938550516512</c:v>
                </c:pt>
                <c:pt idx="4">
                  <c:v>4.2580485948592983</c:v>
                </c:pt>
                <c:pt idx="5">
                  <c:v>6.5779387509379061</c:v>
                </c:pt>
                <c:pt idx="6">
                  <c:v>7.9603093861972507</c:v>
                </c:pt>
                <c:pt idx="7">
                  <c:v>3.2344988247170026</c:v>
                </c:pt>
                <c:pt idx="8">
                  <c:v>2.8430309308082879</c:v>
                </c:pt>
                <c:pt idx="9">
                  <c:v>9.2076097391944103</c:v>
                </c:pt>
              </c:numCache>
            </c:numRef>
          </c:val>
          <c:extLst>
            <c:ext xmlns:c16="http://schemas.microsoft.com/office/drawing/2014/chart" uri="{C3380CC4-5D6E-409C-BE32-E72D297353CC}">
              <c16:uniqueId val="{00000001-7957-E845-A499-F1A7C53EAECE}"/>
            </c:ext>
          </c:extLst>
        </c:ser>
        <c:ser>
          <c:idx val="3"/>
          <c:order val="3"/>
          <c:tx>
            <c:strRef>
              <c:f>CY!$A$5</c:f>
              <c:strCache>
                <c:ptCount val="1"/>
                <c:pt idx="0">
                  <c:v>Services</c:v>
                </c:pt>
              </c:strCache>
            </c:strRef>
          </c:tx>
          <c:spPr>
            <a:solidFill>
              <a:schemeClr val="accent4"/>
            </a:solidFill>
            <a:ln>
              <a:noFill/>
            </a:ln>
            <a:effectLst/>
          </c:spPr>
          <c:invertIfNegative val="0"/>
          <c:cat>
            <c:numRef>
              <c:f>CY!$B$1:$K$1</c:f>
              <c:numCache>
                <c:formatCode>0</c:formatCode>
                <c:ptCount val="10"/>
                <c:pt idx="0">
                  <c:v>2009</c:v>
                </c:pt>
                <c:pt idx="1">
                  <c:v>2010</c:v>
                </c:pt>
                <c:pt idx="2">
                  <c:v>2011</c:v>
                </c:pt>
                <c:pt idx="3">
                  <c:v>2012</c:v>
                </c:pt>
                <c:pt idx="4">
                  <c:v>2013</c:v>
                </c:pt>
                <c:pt idx="5">
                  <c:v>2014</c:v>
                </c:pt>
                <c:pt idx="6">
                  <c:v>2015</c:v>
                </c:pt>
                <c:pt idx="7">
                  <c:v>2016</c:v>
                </c:pt>
                <c:pt idx="8">
                  <c:v>2017</c:v>
                </c:pt>
                <c:pt idx="9">
                  <c:v>2018</c:v>
                </c:pt>
              </c:numCache>
            </c:numRef>
          </c:cat>
          <c:val>
            <c:numRef>
              <c:f>CY!$B$5:$K$5</c:f>
              <c:numCache>
                <c:formatCode>0.0</c:formatCode>
                <c:ptCount val="10"/>
                <c:pt idx="0">
                  <c:v>6.8740558612064628</c:v>
                </c:pt>
                <c:pt idx="1">
                  <c:v>12.286570145487797</c:v>
                </c:pt>
                <c:pt idx="2">
                  <c:v>5.3645379843126006</c:v>
                </c:pt>
                <c:pt idx="3">
                  <c:v>4.7092803482798429</c:v>
                </c:pt>
                <c:pt idx="4">
                  <c:v>5.8313346264083687</c:v>
                </c:pt>
                <c:pt idx="5">
                  <c:v>4.2052089626073874</c:v>
                </c:pt>
                <c:pt idx="6">
                  <c:v>5.1676070301504895</c:v>
                </c:pt>
                <c:pt idx="7">
                  <c:v>3.966648816770002</c:v>
                </c:pt>
                <c:pt idx="8">
                  <c:v>5.7823380988512252</c:v>
                </c:pt>
                <c:pt idx="9">
                  <c:v>8.9043216811887085</c:v>
                </c:pt>
              </c:numCache>
            </c:numRef>
          </c:val>
          <c:extLst>
            <c:ext xmlns:c16="http://schemas.microsoft.com/office/drawing/2014/chart" uri="{C3380CC4-5D6E-409C-BE32-E72D297353CC}">
              <c16:uniqueId val="{00000002-7957-E845-A499-F1A7C53EAECE}"/>
            </c:ext>
          </c:extLst>
        </c:ser>
        <c:dLbls>
          <c:showLegendKey val="0"/>
          <c:showVal val="0"/>
          <c:showCatName val="0"/>
          <c:showSerName val="0"/>
          <c:showPercent val="0"/>
          <c:showBubbleSize val="0"/>
        </c:dLbls>
        <c:gapWidth val="219"/>
        <c:overlap val="-27"/>
        <c:axId val="6543008"/>
        <c:axId val="6542616"/>
      </c:barChart>
      <c:lineChart>
        <c:grouping val="standard"/>
        <c:varyColors val="0"/>
        <c:ser>
          <c:idx val="0"/>
          <c:order val="0"/>
          <c:tx>
            <c:strRef>
              <c:f>CY!$A$2</c:f>
              <c:strCache>
                <c:ptCount val="1"/>
                <c:pt idx="0">
                  <c:v>GDP at market prices</c:v>
                </c:pt>
              </c:strCache>
            </c:strRef>
          </c:tx>
          <c:spPr>
            <a:ln w="28575" cap="rnd">
              <a:solidFill>
                <a:schemeClr val="accent1"/>
              </a:solidFill>
              <a:round/>
            </a:ln>
            <a:effectLst/>
          </c:spPr>
          <c:marker>
            <c:symbol val="none"/>
          </c:marker>
          <c:dLbls>
            <c:dLbl>
              <c:idx val="5"/>
              <c:layout>
                <c:manualLayout>
                  <c:x val="2.5886481484715443E-3"/>
                  <c:y val="-0.10268866026783148"/>
                </c:manualLayout>
              </c:layout>
              <c:dLblPos val="r"/>
              <c:showLegendKey val="0"/>
              <c:showVal val="1"/>
              <c:showCatName val="0"/>
              <c:showSerName val="0"/>
              <c:showPercent val="0"/>
              <c:showBubbleSize val="0"/>
              <c:separator>, </c:separator>
              <c:extLst>
                <c:ext xmlns:c15="http://schemas.microsoft.com/office/drawing/2012/chart" uri="{CE6537A1-D6FC-4f65-9D91-7224C49458BB}"/>
                <c:ext xmlns:c16="http://schemas.microsoft.com/office/drawing/2014/chart" uri="{C3380CC4-5D6E-409C-BE32-E72D297353CC}">
                  <c16:uniqueId val="{00000004-7957-E845-A499-F1A7C53EAECE}"/>
                </c:ext>
              </c:extLst>
            </c:dLbl>
            <c:dLbl>
              <c:idx val="6"/>
              <c:layout>
                <c:manualLayout>
                  <c:x val="1.3675122649580112E-2"/>
                  <c:y val="-6.8625399927198877E-2"/>
                </c:manualLayout>
              </c:layout>
              <c:dLblPos val="r"/>
              <c:showLegendKey val="0"/>
              <c:showVal val="1"/>
              <c:showCatName val="0"/>
              <c:showSerName val="0"/>
              <c:showPercent val="0"/>
              <c:showBubbleSize val="0"/>
              <c:separator>, </c:separator>
              <c:extLst>
                <c:ext xmlns:c15="http://schemas.microsoft.com/office/drawing/2012/chart" uri="{CE6537A1-D6FC-4f65-9D91-7224C49458BB}"/>
                <c:ext xmlns:c16="http://schemas.microsoft.com/office/drawing/2014/chart" uri="{C3380CC4-5D6E-409C-BE32-E72D297353CC}">
                  <c16:uniqueId val="{00000005-7957-E845-A499-F1A7C53EAECE}"/>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Times New Roman" panose="02020603050405020304" pitchFamily="18" charset="0"/>
                  </a:defRPr>
                </a:pPr>
                <a:endParaRPr lang="en-US"/>
              </a:p>
            </c:txPr>
            <c:dLblPos val="t"/>
            <c:showLegendKey val="0"/>
            <c:showVal val="1"/>
            <c:showCatName val="0"/>
            <c:showSerName val="0"/>
            <c:showPercent val="0"/>
            <c:showBubbleSize val="0"/>
            <c:separator>, </c:separator>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CY!$B$1:$K$1</c:f>
              <c:numCache>
                <c:formatCode>0</c:formatCode>
                <c:ptCount val="10"/>
                <c:pt idx="0">
                  <c:v>2009</c:v>
                </c:pt>
                <c:pt idx="1">
                  <c:v>2010</c:v>
                </c:pt>
                <c:pt idx="2">
                  <c:v>2011</c:v>
                </c:pt>
                <c:pt idx="3">
                  <c:v>2012</c:v>
                </c:pt>
                <c:pt idx="4">
                  <c:v>2013</c:v>
                </c:pt>
                <c:pt idx="5">
                  <c:v>2014</c:v>
                </c:pt>
                <c:pt idx="6">
                  <c:v>2015</c:v>
                </c:pt>
                <c:pt idx="7">
                  <c:v>2016</c:v>
                </c:pt>
                <c:pt idx="8">
                  <c:v>2017</c:v>
                </c:pt>
                <c:pt idx="9">
                  <c:v>2018</c:v>
                </c:pt>
              </c:numCache>
            </c:numRef>
          </c:cat>
          <c:val>
            <c:numRef>
              <c:f>CY!$B$2:$K$2</c:f>
              <c:numCache>
                <c:formatCode>0.0</c:formatCode>
                <c:ptCount val="10"/>
                <c:pt idx="0">
                  <c:v>6.8943025602766106</c:v>
                </c:pt>
                <c:pt idx="1">
                  <c:v>8.1704643591312909</c:v>
                </c:pt>
                <c:pt idx="2">
                  <c:v>5.870350358146359</c:v>
                </c:pt>
                <c:pt idx="3">
                  <c:v>3.2347461321531989</c:v>
                </c:pt>
                <c:pt idx="4">
                  <c:v>4.7173458188044082</c:v>
                </c:pt>
                <c:pt idx="5">
                  <c:v>4.5480469001920598</c:v>
                </c:pt>
                <c:pt idx="6">
                  <c:v>5.6943308191906183</c:v>
                </c:pt>
                <c:pt idx="7">
                  <c:v>2.5802344986382675</c:v>
                </c:pt>
                <c:pt idx="8">
                  <c:v>4.5165022340635907</c:v>
                </c:pt>
                <c:pt idx="9">
                  <c:v>7.6724514634803453</c:v>
                </c:pt>
              </c:numCache>
            </c:numRef>
          </c:val>
          <c:smooth val="0"/>
          <c:extLst>
            <c:ext xmlns:c16="http://schemas.microsoft.com/office/drawing/2014/chart" uri="{C3380CC4-5D6E-409C-BE32-E72D297353CC}">
              <c16:uniqueId val="{00000003-7957-E845-A499-F1A7C53EAECE}"/>
            </c:ext>
          </c:extLst>
        </c:ser>
        <c:dLbls>
          <c:showLegendKey val="0"/>
          <c:showVal val="0"/>
          <c:showCatName val="0"/>
          <c:showSerName val="0"/>
          <c:showPercent val="0"/>
          <c:showBubbleSize val="0"/>
        </c:dLbls>
        <c:marker val="1"/>
        <c:smooth val="0"/>
        <c:axId val="6543008"/>
        <c:axId val="6542616"/>
      </c:lineChart>
      <c:catAx>
        <c:axId val="6543008"/>
        <c:scaling>
          <c:orientation val="minMax"/>
        </c:scaling>
        <c:delete val="0"/>
        <c:axPos val="b"/>
        <c:numFmt formatCode="0"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Times New Roman" panose="02020603050405020304" pitchFamily="18" charset="0"/>
              </a:defRPr>
            </a:pPr>
            <a:endParaRPr lang="en-US"/>
          </a:p>
        </c:txPr>
        <c:crossAx val="6542616"/>
        <c:crosses val="autoZero"/>
        <c:auto val="1"/>
        <c:lblAlgn val="ctr"/>
        <c:lblOffset val="100"/>
        <c:noMultiLvlLbl val="0"/>
      </c:catAx>
      <c:valAx>
        <c:axId val="6542616"/>
        <c:scaling>
          <c:orientation val="minMax"/>
        </c:scaling>
        <c:delete val="0"/>
        <c:axPos val="l"/>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Times New Roman" panose="02020603050405020304" pitchFamily="18" charset="0"/>
              </a:defRPr>
            </a:pPr>
            <a:endParaRPr lang="en-US"/>
          </a:p>
        </c:txPr>
        <c:crossAx val="654300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Times New Roman" panose="02020603050405020304" pitchFamily="18"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EAC!$B$1</c:f>
              <c:strCache>
                <c:ptCount val="1"/>
                <c:pt idx="0">
                  <c:v>2016</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EAC!$A$2:$A$5</c:f>
              <c:strCache>
                <c:ptCount val="4"/>
                <c:pt idx="0">
                  <c:v>Kenya</c:v>
                </c:pt>
                <c:pt idx="1">
                  <c:v>Tanzania</c:v>
                </c:pt>
                <c:pt idx="2">
                  <c:v>Rwanda</c:v>
                </c:pt>
                <c:pt idx="3">
                  <c:v>Uganda</c:v>
                </c:pt>
              </c:strCache>
            </c:strRef>
          </c:cat>
          <c:val>
            <c:numRef>
              <c:f>EAC!$B$2:$B$5</c:f>
              <c:numCache>
                <c:formatCode>General</c:formatCode>
                <c:ptCount val="4"/>
                <c:pt idx="0">
                  <c:v>5.8</c:v>
                </c:pt>
                <c:pt idx="1">
                  <c:v>6.9</c:v>
                </c:pt>
                <c:pt idx="2">
                  <c:v>5.9</c:v>
                </c:pt>
                <c:pt idx="3">
                  <c:v>2.6</c:v>
                </c:pt>
              </c:numCache>
            </c:numRef>
          </c:val>
          <c:extLst>
            <c:ext xmlns:c16="http://schemas.microsoft.com/office/drawing/2014/chart" uri="{C3380CC4-5D6E-409C-BE32-E72D297353CC}">
              <c16:uniqueId val="{00000000-937C-D247-AD56-C83E56513BF0}"/>
            </c:ext>
          </c:extLst>
        </c:ser>
        <c:ser>
          <c:idx val="1"/>
          <c:order val="1"/>
          <c:tx>
            <c:strRef>
              <c:f>EAC!$C$1</c:f>
              <c:strCache>
                <c:ptCount val="1"/>
                <c:pt idx="0">
                  <c:v>2017</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EAC!$A$2:$A$5</c:f>
              <c:strCache>
                <c:ptCount val="4"/>
                <c:pt idx="0">
                  <c:v>Kenya</c:v>
                </c:pt>
                <c:pt idx="1">
                  <c:v>Tanzania</c:v>
                </c:pt>
                <c:pt idx="2">
                  <c:v>Rwanda</c:v>
                </c:pt>
                <c:pt idx="3">
                  <c:v>Uganda</c:v>
                </c:pt>
              </c:strCache>
            </c:strRef>
          </c:cat>
          <c:val>
            <c:numRef>
              <c:f>EAC!$C$2:$C$5</c:f>
              <c:numCache>
                <c:formatCode>General</c:formatCode>
                <c:ptCount val="4"/>
                <c:pt idx="0">
                  <c:v>4.7</c:v>
                </c:pt>
                <c:pt idx="1">
                  <c:v>6.8</c:v>
                </c:pt>
                <c:pt idx="2">
                  <c:v>6.1</c:v>
                </c:pt>
                <c:pt idx="3">
                  <c:v>4.5</c:v>
                </c:pt>
              </c:numCache>
            </c:numRef>
          </c:val>
          <c:extLst>
            <c:ext xmlns:c16="http://schemas.microsoft.com/office/drawing/2014/chart" uri="{C3380CC4-5D6E-409C-BE32-E72D297353CC}">
              <c16:uniqueId val="{00000001-937C-D247-AD56-C83E56513BF0}"/>
            </c:ext>
          </c:extLst>
        </c:ser>
        <c:ser>
          <c:idx val="2"/>
          <c:order val="2"/>
          <c:tx>
            <c:strRef>
              <c:f>EAC!$D$1</c:f>
              <c:strCache>
                <c:ptCount val="1"/>
                <c:pt idx="0">
                  <c:v>2018</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EAC!$A$2:$A$5</c:f>
              <c:strCache>
                <c:ptCount val="4"/>
                <c:pt idx="0">
                  <c:v>Kenya</c:v>
                </c:pt>
                <c:pt idx="1">
                  <c:v>Tanzania</c:v>
                </c:pt>
                <c:pt idx="2">
                  <c:v>Rwanda</c:v>
                </c:pt>
                <c:pt idx="3">
                  <c:v>Uganda</c:v>
                </c:pt>
              </c:strCache>
            </c:strRef>
          </c:cat>
          <c:val>
            <c:numRef>
              <c:f>EAC!$D$2:$D$5</c:f>
              <c:numCache>
                <c:formatCode>General</c:formatCode>
                <c:ptCount val="4"/>
                <c:pt idx="0">
                  <c:v>6.3</c:v>
                </c:pt>
                <c:pt idx="1">
                  <c:v>7</c:v>
                </c:pt>
                <c:pt idx="2">
                  <c:v>8.6</c:v>
                </c:pt>
                <c:pt idx="3">
                  <c:v>7.7</c:v>
                </c:pt>
              </c:numCache>
            </c:numRef>
          </c:val>
          <c:extLst>
            <c:ext xmlns:c16="http://schemas.microsoft.com/office/drawing/2014/chart" uri="{C3380CC4-5D6E-409C-BE32-E72D297353CC}">
              <c16:uniqueId val="{00000002-937C-D247-AD56-C83E56513BF0}"/>
            </c:ext>
          </c:extLst>
        </c:ser>
        <c:dLbls>
          <c:showLegendKey val="0"/>
          <c:showVal val="0"/>
          <c:showCatName val="0"/>
          <c:showSerName val="0"/>
          <c:showPercent val="0"/>
          <c:showBubbleSize val="0"/>
        </c:dLbls>
        <c:gapWidth val="219"/>
        <c:overlap val="-27"/>
        <c:axId val="6544968"/>
        <c:axId val="6545360"/>
      </c:barChart>
      <c:catAx>
        <c:axId val="65449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545360"/>
        <c:crosses val="autoZero"/>
        <c:auto val="1"/>
        <c:lblAlgn val="ctr"/>
        <c:lblOffset val="100"/>
        <c:noMultiLvlLbl val="0"/>
      </c:catAx>
      <c:valAx>
        <c:axId val="6545360"/>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54496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Sheet1!$B$4</c:f>
              <c:strCache>
                <c:ptCount val="1"/>
                <c:pt idx="0">
                  <c:v>Uganda</c:v>
                </c:pt>
              </c:strCache>
            </c:strRef>
          </c:tx>
          <c:spPr>
            <a:ln w="28575" cap="rnd">
              <a:solidFill>
                <a:schemeClr val="accent1"/>
              </a:solidFill>
              <a:prstDash val="solid"/>
              <a:round/>
            </a:ln>
            <a:effectLst/>
          </c:spPr>
          <c:marker>
            <c:symbol val="none"/>
          </c:marker>
          <c:cat>
            <c:numRef>
              <c:f>Sheet1!$C$2:$Y$2</c:f>
              <c:numCache>
                <c:formatCode>General</c:formatCode>
                <c:ptCount val="23"/>
                <c:pt idx="0">
                  <c:v>1995</c:v>
                </c:pt>
                <c:pt idx="1">
                  <c:v>1996</c:v>
                </c:pt>
                <c:pt idx="2">
                  <c:v>1997</c:v>
                </c:pt>
                <c:pt idx="3">
                  <c:v>1998</c:v>
                </c:pt>
                <c:pt idx="4">
                  <c:v>1999</c:v>
                </c:pt>
                <c:pt idx="5">
                  <c:v>2000</c:v>
                </c:pt>
                <c:pt idx="6">
                  <c:v>2001</c:v>
                </c:pt>
                <c:pt idx="7">
                  <c:v>2002</c:v>
                </c:pt>
                <c:pt idx="8">
                  <c:v>2003</c:v>
                </c:pt>
                <c:pt idx="9">
                  <c:v>2004</c:v>
                </c:pt>
                <c:pt idx="10">
                  <c:v>2005</c:v>
                </c:pt>
                <c:pt idx="11">
                  <c:v>2006</c:v>
                </c:pt>
                <c:pt idx="12">
                  <c:v>2007</c:v>
                </c:pt>
                <c:pt idx="13">
                  <c:v>2008</c:v>
                </c:pt>
                <c:pt idx="14">
                  <c:v>2009</c:v>
                </c:pt>
                <c:pt idx="15">
                  <c:v>2010</c:v>
                </c:pt>
                <c:pt idx="16">
                  <c:v>2011</c:v>
                </c:pt>
                <c:pt idx="17">
                  <c:v>2012</c:v>
                </c:pt>
                <c:pt idx="18">
                  <c:v>2013</c:v>
                </c:pt>
                <c:pt idx="19">
                  <c:v>2014</c:v>
                </c:pt>
                <c:pt idx="20">
                  <c:v>2015</c:v>
                </c:pt>
                <c:pt idx="21">
                  <c:v>2016</c:v>
                </c:pt>
                <c:pt idx="22">
                  <c:v>2017</c:v>
                </c:pt>
              </c:numCache>
            </c:numRef>
          </c:cat>
          <c:val>
            <c:numRef>
              <c:f>Sheet1!$C$4:$Y$4</c:f>
              <c:numCache>
                <c:formatCode>General</c:formatCode>
                <c:ptCount val="23"/>
                <c:pt idx="0">
                  <c:v>-1.92</c:v>
                </c:pt>
                <c:pt idx="1">
                  <c:v>-1.57</c:v>
                </c:pt>
                <c:pt idx="2">
                  <c:v>-1.3</c:v>
                </c:pt>
                <c:pt idx="3">
                  <c:v>-1.08</c:v>
                </c:pt>
                <c:pt idx="4">
                  <c:v>-1.39</c:v>
                </c:pt>
                <c:pt idx="5">
                  <c:v>-1.3</c:v>
                </c:pt>
                <c:pt idx="6">
                  <c:v>-1.26</c:v>
                </c:pt>
                <c:pt idx="7">
                  <c:v>-1.1399999999999999</c:v>
                </c:pt>
                <c:pt idx="8">
                  <c:v>-1.01</c:v>
                </c:pt>
                <c:pt idx="9">
                  <c:v>-1.05</c:v>
                </c:pt>
                <c:pt idx="10">
                  <c:v>-0.74</c:v>
                </c:pt>
                <c:pt idx="11">
                  <c:v>-0.81</c:v>
                </c:pt>
                <c:pt idx="12">
                  <c:v>-0.72</c:v>
                </c:pt>
                <c:pt idx="13">
                  <c:v>-0.64</c:v>
                </c:pt>
                <c:pt idx="14">
                  <c:v>-0.64</c:v>
                </c:pt>
                <c:pt idx="15">
                  <c:v>-0.56000000000000005</c:v>
                </c:pt>
                <c:pt idx="16">
                  <c:v>-0.5</c:v>
                </c:pt>
                <c:pt idx="17">
                  <c:v>-0.45</c:v>
                </c:pt>
                <c:pt idx="18">
                  <c:v>-0.44</c:v>
                </c:pt>
                <c:pt idx="19">
                  <c:v>-0.44</c:v>
                </c:pt>
                <c:pt idx="20">
                  <c:v>-0.41</c:v>
                </c:pt>
                <c:pt idx="21">
                  <c:v>-0.41</c:v>
                </c:pt>
                <c:pt idx="22">
                  <c:v>-0.55000000000000004</c:v>
                </c:pt>
              </c:numCache>
            </c:numRef>
          </c:val>
          <c:smooth val="0"/>
          <c:extLst>
            <c:ext xmlns:c16="http://schemas.microsoft.com/office/drawing/2014/chart" uri="{C3380CC4-5D6E-409C-BE32-E72D297353CC}">
              <c16:uniqueId val="{00000000-E98C-F444-89C2-1E8910FF7B6D}"/>
            </c:ext>
          </c:extLst>
        </c:ser>
        <c:ser>
          <c:idx val="1"/>
          <c:order val="1"/>
          <c:tx>
            <c:strRef>
              <c:f>Sheet1!$B$5</c:f>
              <c:strCache>
                <c:ptCount val="1"/>
                <c:pt idx="0">
                  <c:v>Kenya</c:v>
                </c:pt>
              </c:strCache>
            </c:strRef>
          </c:tx>
          <c:spPr>
            <a:ln w="28575" cap="rnd">
              <a:solidFill>
                <a:schemeClr val="accent2"/>
              </a:solidFill>
              <a:prstDash val="sysDash"/>
              <a:round/>
            </a:ln>
            <a:effectLst/>
          </c:spPr>
          <c:marker>
            <c:symbol val="none"/>
          </c:marker>
          <c:cat>
            <c:numRef>
              <c:f>Sheet1!$C$2:$Y$2</c:f>
              <c:numCache>
                <c:formatCode>General</c:formatCode>
                <c:ptCount val="23"/>
                <c:pt idx="0">
                  <c:v>1995</c:v>
                </c:pt>
                <c:pt idx="1">
                  <c:v>1996</c:v>
                </c:pt>
                <c:pt idx="2">
                  <c:v>1997</c:v>
                </c:pt>
                <c:pt idx="3">
                  <c:v>1998</c:v>
                </c:pt>
                <c:pt idx="4">
                  <c:v>1999</c:v>
                </c:pt>
                <c:pt idx="5">
                  <c:v>2000</c:v>
                </c:pt>
                <c:pt idx="6">
                  <c:v>2001</c:v>
                </c:pt>
                <c:pt idx="7">
                  <c:v>2002</c:v>
                </c:pt>
                <c:pt idx="8">
                  <c:v>2003</c:v>
                </c:pt>
                <c:pt idx="9">
                  <c:v>2004</c:v>
                </c:pt>
                <c:pt idx="10">
                  <c:v>2005</c:v>
                </c:pt>
                <c:pt idx="11">
                  <c:v>2006</c:v>
                </c:pt>
                <c:pt idx="12">
                  <c:v>2007</c:v>
                </c:pt>
                <c:pt idx="13">
                  <c:v>2008</c:v>
                </c:pt>
                <c:pt idx="14">
                  <c:v>2009</c:v>
                </c:pt>
                <c:pt idx="15">
                  <c:v>2010</c:v>
                </c:pt>
                <c:pt idx="16">
                  <c:v>2011</c:v>
                </c:pt>
                <c:pt idx="17">
                  <c:v>2012</c:v>
                </c:pt>
                <c:pt idx="18">
                  <c:v>2013</c:v>
                </c:pt>
                <c:pt idx="19">
                  <c:v>2014</c:v>
                </c:pt>
                <c:pt idx="20">
                  <c:v>2015</c:v>
                </c:pt>
                <c:pt idx="21">
                  <c:v>2016</c:v>
                </c:pt>
                <c:pt idx="22">
                  <c:v>2017</c:v>
                </c:pt>
              </c:numCache>
            </c:numRef>
          </c:cat>
          <c:val>
            <c:numRef>
              <c:f>Sheet1!$C$5:$Y$5</c:f>
              <c:numCache>
                <c:formatCode>General</c:formatCode>
                <c:ptCount val="23"/>
                <c:pt idx="0">
                  <c:v>-0.45</c:v>
                </c:pt>
                <c:pt idx="1">
                  <c:v>-0.59</c:v>
                </c:pt>
                <c:pt idx="2">
                  <c:v>-0.28000000000000003</c:v>
                </c:pt>
                <c:pt idx="3">
                  <c:v>-0.37</c:v>
                </c:pt>
                <c:pt idx="4">
                  <c:v>-0.38</c:v>
                </c:pt>
                <c:pt idx="5">
                  <c:v>-0.63</c:v>
                </c:pt>
                <c:pt idx="6">
                  <c:v>-0.45</c:v>
                </c:pt>
                <c:pt idx="7">
                  <c:v>-0.64</c:v>
                </c:pt>
                <c:pt idx="8">
                  <c:v>-0.59</c:v>
                </c:pt>
                <c:pt idx="9">
                  <c:v>-0.56999999999999995</c:v>
                </c:pt>
                <c:pt idx="10">
                  <c:v>-0.56999999999999995</c:v>
                </c:pt>
                <c:pt idx="11">
                  <c:v>-0.45</c:v>
                </c:pt>
                <c:pt idx="12">
                  <c:v>-0.47</c:v>
                </c:pt>
                <c:pt idx="13">
                  <c:v>-0.36</c:v>
                </c:pt>
                <c:pt idx="14">
                  <c:v>-0.34</c:v>
                </c:pt>
                <c:pt idx="15">
                  <c:v>-0.33</c:v>
                </c:pt>
                <c:pt idx="16">
                  <c:v>-0.27</c:v>
                </c:pt>
                <c:pt idx="17">
                  <c:v>-0.31</c:v>
                </c:pt>
                <c:pt idx="18">
                  <c:v>-0.39</c:v>
                </c:pt>
                <c:pt idx="19">
                  <c:v>-0.41</c:v>
                </c:pt>
                <c:pt idx="20">
                  <c:v>-0.59</c:v>
                </c:pt>
                <c:pt idx="21">
                  <c:v>-0.53</c:v>
                </c:pt>
                <c:pt idx="22">
                  <c:v>-0.49</c:v>
                </c:pt>
              </c:numCache>
            </c:numRef>
          </c:val>
          <c:smooth val="0"/>
          <c:extLst>
            <c:ext xmlns:c16="http://schemas.microsoft.com/office/drawing/2014/chart" uri="{C3380CC4-5D6E-409C-BE32-E72D297353CC}">
              <c16:uniqueId val="{00000001-E98C-F444-89C2-1E8910FF7B6D}"/>
            </c:ext>
          </c:extLst>
        </c:ser>
        <c:ser>
          <c:idx val="2"/>
          <c:order val="2"/>
          <c:tx>
            <c:strRef>
              <c:f>Sheet1!$B$6</c:f>
              <c:strCache>
                <c:ptCount val="1"/>
                <c:pt idx="0">
                  <c:v>Tanzania</c:v>
                </c:pt>
              </c:strCache>
            </c:strRef>
          </c:tx>
          <c:spPr>
            <a:ln w="28575" cap="rnd">
              <a:solidFill>
                <a:schemeClr val="accent3"/>
              </a:solidFill>
              <a:prstDash val="dash"/>
              <a:round/>
            </a:ln>
            <a:effectLst/>
          </c:spPr>
          <c:marker>
            <c:symbol val="none"/>
          </c:marker>
          <c:cat>
            <c:numRef>
              <c:f>Sheet1!$C$2:$Y$2</c:f>
              <c:numCache>
                <c:formatCode>General</c:formatCode>
                <c:ptCount val="23"/>
                <c:pt idx="0">
                  <c:v>1995</c:v>
                </c:pt>
                <c:pt idx="1">
                  <c:v>1996</c:v>
                </c:pt>
                <c:pt idx="2">
                  <c:v>1997</c:v>
                </c:pt>
                <c:pt idx="3">
                  <c:v>1998</c:v>
                </c:pt>
                <c:pt idx="4">
                  <c:v>1999</c:v>
                </c:pt>
                <c:pt idx="5">
                  <c:v>2000</c:v>
                </c:pt>
                <c:pt idx="6">
                  <c:v>2001</c:v>
                </c:pt>
                <c:pt idx="7">
                  <c:v>2002</c:v>
                </c:pt>
                <c:pt idx="8">
                  <c:v>2003</c:v>
                </c:pt>
                <c:pt idx="9">
                  <c:v>2004</c:v>
                </c:pt>
                <c:pt idx="10">
                  <c:v>2005</c:v>
                </c:pt>
                <c:pt idx="11">
                  <c:v>2006</c:v>
                </c:pt>
                <c:pt idx="12">
                  <c:v>2007</c:v>
                </c:pt>
                <c:pt idx="13">
                  <c:v>2008</c:v>
                </c:pt>
                <c:pt idx="14">
                  <c:v>2009</c:v>
                </c:pt>
                <c:pt idx="15">
                  <c:v>2010</c:v>
                </c:pt>
                <c:pt idx="16">
                  <c:v>2011</c:v>
                </c:pt>
                <c:pt idx="17">
                  <c:v>2012</c:v>
                </c:pt>
                <c:pt idx="18">
                  <c:v>2013</c:v>
                </c:pt>
                <c:pt idx="19">
                  <c:v>2014</c:v>
                </c:pt>
                <c:pt idx="20">
                  <c:v>2015</c:v>
                </c:pt>
                <c:pt idx="21">
                  <c:v>2016</c:v>
                </c:pt>
                <c:pt idx="22">
                  <c:v>2017</c:v>
                </c:pt>
              </c:numCache>
            </c:numRef>
          </c:cat>
          <c:val>
            <c:numRef>
              <c:f>Sheet1!$C$6:$Y$6</c:f>
              <c:numCache>
                <c:formatCode>General</c:formatCode>
                <c:ptCount val="23"/>
                <c:pt idx="0">
                  <c:v>-1.18</c:v>
                </c:pt>
                <c:pt idx="1">
                  <c:v>-1.57</c:v>
                </c:pt>
                <c:pt idx="2">
                  <c:v>-1.21</c:v>
                </c:pt>
                <c:pt idx="3">
                  <c:v>-0.96</c:v>
                </c:pt>
                <c:pt idx="4">
                  <c:v>-0.86</c:v>
                </c:pt>
                <c:pt idx="5">
                  <c:v>-1.2</c:v>
                </c:pt>
                <c:pt idx="6">
                  <c:v>-1.31</c:v>
                </c:pt>
                <c:pt idx="7">
                  <c:v>-1.27</c:v>
                </c:pt>
                <c:pt idx="8">
                  <c:v>-1.1399999999999999</c:v>
                </c:pt>
                <c:pt idx="9">
                  <c:v>-1.02</c:v>
                </c:pt>
                <c:pt idx="10">
                  <c:v>-1.01</c:v>
                </c:pt>
                <c:pt idx="11">
                  <c:v>-0.95</c:v>
                </c:pt>
                <c:pt idx="12">
                  <c:v>-0.77</c:v>
                </c:pt>
                <c:pt idx="13">
                  <c:v>-0.72</c:v>
                </c:pt>
                <c:pt idx="14">
                  <c:v>-0.8</c:v>
                </c:pt>
                <c:pt idx="15">
                  <c:v>-0.79</c:v>
                </c:pt>
                <c:pt idx="16">
                  <c:v>-0.75</c:v>
                </c:pt>
                <c:pt idx="17">
                  <c:v>-0.62</c:v>
                </c:pt>
                <c:pt idx="18">
                  <c:v>-0.72</c:v>
                </c:pt>
                <c:pt idx="19">
                  <c:v>-0.94</c:v>
                </c:pt>
                <c:pt idx="20">
                  <c:v>-0.87</c:v>
                </c:pt>
                <c:pt idx="21">
                  <c:v>-1.04</c:v>
                </c:pt>
                <c:pt idx="22">
                  <c:v>-1.07</c:v>
                </c:pt>
              </c:numCache>
            </c:numRef>
          </c:val>
          <c:smooth val="0"/>
          <c:extLst>
            <c:ext xmlns:c16="http://schemas.microsoft.com/office/drawing/2014/chart" uri="{C3380CC4-5D6E-409C-BE32-E72D297353CC}">
              <c16:uniqueId val="{00000002-E98C-F444-89C2-1E8910FF7B6D}"/>
            </c:ext>
          </c:extLst>
        </c:ser>
        <c:dLbls>
          <c:showLegendKey val="0"/>
          <c:showVal val="0"/>
          <c:showCatName val="0"/>
          <c:showSerName val="0"/>
          <c:showPercent val="0"/>
          <c:showBubbleSize val="0"/>
        </c:dLbls>
        <c:smooth val="0"/>
        <c:axId val="209104280"/>
        <c:axId val="209105848"/>
      </c:lineChart>
      <c:catAx>
        <c:axId val="209104280"/>
        <c:scaling>
          <c:orientation val="minMax"/>
        </c:scaling>
        <c:delete val="0"/>
        <c:axPos val="b"/>
        <c:numFmt formatCode="General" sourceLinked="1"/>
        <c:majorTickMark val="none"/>
        <c:minorTickMark val="none"/>
        <c:tickLblPos val="high"/>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1" u="none" strike="noStrike" kern="1200" baseline="0">
                <a:solidFill>
                  <a:schemeClr val="tx1">
                    <a:lumMod val="65000"/>
                    <a:lumOff val="35000"/>
                  </a:schemeClr>
                </a:solidFill>
                <a:latin typeface="+mn-lt"/>
                <a:ea typeface="+mn-ea"/>
                <a:cs typeface="+mn-cs"/>
              </a:defRPr>
            </a:pPr>
            <a:endParaRPr lang="en-US"/>
          </a:p>
        </c:txPr>
        <c:crossAx val="209105848"/>
        <c:crosses val="autoZero"/>
        <c:auto val="1"/>
        <c:lblAlgn val="ctr"/>
        <c:lblOffset val="100"/>
        <c:noMultiLvlLbl val="0"/>
      </c:catAx>
      <c:valAx>
        <c:axId val="209105848"/>
        <c:scaling>
          <c:orientation val="minMax"/>
          <c:min val="-2"/>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209104280"/>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537906215331331"/>
          <c:y val="7.0279627394976937E-2"/>
          <c:w val="0.84063468355115412"/>
          <c:h val="0.82232088133415515"/>
        </c:manualLayout>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Sheet1!$B$4:$G$4</c:f>
              <c:strCache>
                <c:ptCount val="6"/>
                <c:pt idx="0">
                  <c:v>1999/2000</c:v>
                </c:pt>
                <c:pt idx="1">
                  <c:v>2002/2003</c:v>
                </c:pt>
                <c:pt idx="2">
                  <c:v>2005/2006</c:v>
                </c:pt>
                <c:pt idx="3">
                  <c:v>2009/2010</c:v>
                </c:pt>
                <c:pt idx="4">
                  <c:v>2012/2013</c:v>
                </c:pt>
                <c:pt idx="5">
                  <c:v>2016/2017</c:v>
                </c:pt>
              </c:strCache>
            </c:strRef>
          </c:cat>
          <c:val>
            <c:numRef>
              <c:f>Sheet1!$B$5:$G$5</c:f>
              <c:numCache>
                <c:formatCode>General</c:formatCode>
                <c:ptCount val="6"/>
                <c:pt idx="0">
                  <c:v>33.799999999999997</c:v>
                </c:pt>
                <c:pt idx="1">
                  <c:v>37.700000000000003</c:v>
                </c:pt>
                <c:pt idx="2">
                  <c:v>31.1</c:v>
                </c:pt>
                <c:pt idx="3">
                  <c:v>24.5</c:v>
                </c:pt>
                <c:pt idx="4">
                  <c:v>19.7</c:v>
                </c:pt>
                <c:pt idx="5">
                  <c:v>21.4</c:v>
                </c:pt>
              </c:numCache>
            </c:numRef>
          </c:val>
          <c:extLst>
            <c:ext xmlns:c16="http://schemas.microsoft.com/office/drawing/2014/chart" uri="{C3380CC4-5D6E-409C-BE32-E72D297353CC}">
              <c16:uniqueId val="{00000000-A66C-0745-ACFA-D1DDEE2ADED7}"/>
            </c:ext>
          </c:extLst>
        </c:ser>
        <c:dLbls>
          <c:showLegendKey val="0"/>
          <c:showVal val="0"/>
          <c:showCatName val="0"/>
          <c:showSerName val="0"/>
          <c:showPercent val="0"/>
          <c:showBubbleSize val="0"/>
        </c:dLbls>
        <c:gapWidth val="219"/>
        <c:overlap val="-27"/>
        <c:axId val="209106240"/>
        <c:axId val="209106632"/>
      </c:barChart>
      <c:catAx>
        <c:axId val="20910624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209106632"/>
        <c:crosses val="autoZero"/>
        <c:auto val="1"/>
        <c:lblAlgn val="ctr"/>
        <c:lblOffset val="100"/>
        <c:noMultiLvlLbl val="0"/>
      </c:catAx>
      <c:valAx>
        <c:axId val="209106632"/>
        <c:scaling>
          <c:orientation val="minMax"/>
        </c:scaling>
        <c:delete val="0"/>
        <c:axPos val="l"/>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Headcount (percentages)</a:t>
                </a:r>
              </a:p>
            </c:rich>
          </c:tx>
          <c:layout>
            <c:manualLayout>
              <c:xMode val="edge"/>
              <c:yMode val="edge"/>
              <c:x val="1.3182022350298996E-2"/>
              <c:y val="0.26169364246135901"/>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20910624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'U1 Summary'!$D$9:$N$9</c:f>
              <c:strCache>
                <c:ptCount val="11"/>
                <c:pt idx="0">
                  <c:v>2008/09</c:v>
                </c:pt>
                <c:pt idx="1">
                  <c:v>2009/10</c:v>
                </c:pt>
                <c:pt idx="2">
                  <c:v>2010/11</c:v>
                </c:pt>
                <c:pt idx="3">
                  <c:v>2011/12</c:v>
                </c:pt>
                <c:pt idx="4">
                  <c:v>2012/13</c:v>
                </c:pt>
                <c:pt idx="5">
                  <c:v>2013/14</c:v>
                </c:pt>
                <c:pt idx="6">
                  <c:v>2014/15</c:v>
                </c:pt>
                <c:pt idx="7">
                  <c:v>2015/16</c:v>
                </c:pt>
                <c:pt idx="8">
                  <c:v>2016/17</c:v>
                </c:pt>
                <c:pt idx="9">
                  <c:v>2017/18</c:v>
                </c:pt>
                <c:pt idx="10">
                  <c:v>2018/19</c:v>
                </c:pt>
              </c:strCache>
            </c:strRef>
          </c:cat>
          <c:val>
            <c:numRef>
              <c:f>'U1 Summary'!$D$10:$N$10</c:f>
              <c:numCache>
                <c:formatCode>_-* #,##0_-;\-* #,##0_-;_-* "-"??_-;_-@_-</c:formatCode>
                <c:ptCount val="11"/>
                <c:pt idx="0">
                  <c:v>617.70187856271855</c:v>
                </c:pt>
                <c:pt idx="1">
                  <c:v>667.14135705944898</c:v>
                </c:pt>
                <c:pt idx="2">
                  <c:v>647.46064997908002</c:v>
                </c:pt>
                <c:pt idx="3">
                  <c:v>720.93090182017067</c:v>
                </c:pt>
                <c:pt idx="4">
                  <c:v>744.78874763569559</c:v>
                </c:pt>
                <c:pt idx="5">
                  <c:v>803.03168280017883</c:v>
                </c:pt>
                <c:pt idx="6">
                  <c:v>773.91981513664109</c:v>
                </c:pt>
                <c:pt idx="7">
                  <c:v>672.53052806592223</c:v>
                </c:pt>
                <c:pt idx="8">
                  <c:v>704.13092913166952</c:v>
                </c:pt>
                <c:pt idx="9">
                  <c:v>724.51113949918306</c:v>
                </c:pt>
                <c:pt idx="10">
                  <c:v>757.08159402651927</c:v>
                </c:pt>
              </c:numCache>
            </c:numRef>
          </c:val>
          <c:extLst>
            <c:ext xmlns:c16="http://schemas.microsoft.com/office/drawing/2014/chart" uri="{C3380CC4-5D6E-409C-BE32-E72D297353CC}">
              <c16:uniqueId val="{00000000-942B-4741-86B1-6331BA137E49}"/>
            </c:ext>
          </c:extLst>
        </c:ser>
        <c:dLbls>
          <c:showLegendKey val="0"/>
          <c:showVal val="1"/>
          <c:showCatName val="0"/>
          <c:showSerName val="0"/>
          <c:showPercent val="0"/>
          <c:showBubbleSize val="0"/>
        </c:dLbls>
        <c:gapWidth val="219"/>
        <c:overlap val="-27"/>
        <c:axId val="322476032"/>
        <c:axId val="322475640"/>
      </c:barChart>
      <c:catAx>
        <c:axId val="32247603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22475640"/>
        <c:crosses val="autoZero"/>
        <c:auto val="1"/>
        <c:lblAlgn val="ctr"/>
        <c:lblOffset val="100"/>
        <c:noMultiLvlLbl val="0"/>
      </c:catAx>
      <c:valAx>
        <c:axId val="322475640"/>
        <c:scaling>
          <c:orientation val="minMax"/>
        </c:scaling>
        <c:delete val="0"/>
        <c:axPos val="l"/>
        <c:numFmt formatCode="[$$-409]#,##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2247603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'EAC partner states2'!$A$3</c:f>
              <c:strCache>
                <c:ptCount val="1"/>
                <c:pt idx="0">
                  <c:v>Kenya</c:v>
                </c:pt>
              </c:strCache>
            </c:strRef>
          </c:tx>
          <c:spPr>
            <a:solidFill>
              <a:schemeClr val="accent1"/>
            </a:solidFill>
            <a:ln>
              <a:noFill/>
            </a:ln>
            <a:effectLst/>
          </c:spPr>
          <c:invertIfNegative val="0"/>
          <c:cat>
            <c:strRef>
              <c:f>'EAC partner states2'!$B$2:$I$2</c:f>
              <c:strCache>
                <c:ptCount val="8"/>
                <c:pt idx="0">
                  <c:v>2010</c:v>
                </c:pt>
                <c:pt idx="1">
                  <c:v>2011</c:v>
                </c:pt>
                <c:pt idx="2">
                  <c:v>2012</c:v>
                </c:pt>
                <c:pt idx="3">
                  <c:v>2013</c:v>
                </c:pt>
                <c:pt idx="4">
                  <c:v>2014</c:v>
                </c:pt>
                <c:pt idx="5">
                  <c:v>2015</c:v>
                </c:pt>
                <c:pt idx="6">
                  <c:v>2016</c:v>
                </c:pt>
                <c:pt idx="7">
                  <c:v>2017</c:v>
                </c:pt>
              </c:strCache>
            </c:strRef>
          </c:cat>
          <c:val>
            <c:numRef>
              <c:f>'EAC partner states2'!$B$3:$I$3</c:f>
              <c:numCache>
                <c:formatCode>0.0</c:formatCode>
                <c:ptCount val="8"/>
                <c:pt idx="0">
                  <c:v>967.35045488597291</c:v>
                </c:pt>
                <c:pt idx="1">
                  <c:v>987.48090948618847</c:v>
                </c:pt>
                <c:pt idx="2">
                  <c:v>1153.2322307012614</c:v>
                </c:pt>
                <c:pt idx="3">
                  <c:v>1229.1011148992968</c:v>
                </c:pt>
                <c:pt idx="4">
                  <c:v>1335.1232622306877</c:v>
                </c:pt>
                <c:pt idx="5">
                  <c:v>1355.0457883397467</c:v>
                </c:pt>
                <c:pt idx="6">
                  <c:v>1462.5051147310273</c:v>
                </c:pt>
                <c:pt idx="7">
                  <c:v>1507.814863849236</c:v>
                </c:pt>
              </c:numCache>
            </c:numRef>
          </c:val>
          <c:extLst>
            <c:ext xmlns:c16="http://schemas.microsoft.com/office/drawing/2014/chart" uri="{C3380CC4-5D6E-409C-BE32-E72D297353CC}">
              <c16:uniqueId val="{00000000-4726-5D4C-BCB1-7CD94BCBA7F6}"/>
            </c:ext>
          </c:extLst>
        </c:ser>
        <c:ser>
          <c:idx val="1"/>
          <c:order val="1"/>
          <c:tx>
            <c:strRef>
              <c:f>'EAC partner states2'!$A$4</c:f>
              <c:strCache>
                <c:ptCount val="1"/>
                <c:pt idx="0">
                  <c:v>Tanzania</c:v>
                </c:pt>
              </c:strCache>
            </c:strRef>
          </c:tx>
          <c:spPr>
            <a:solidFill>
              <a:schemeClr val="accent2"/>
            </a:solidFill>
            <a:ln>
              <a:noFill/>
            </a:ln>
            <a:effectLst/>
          </c:spPr>
          <c:invertIfNegative val="0"/>
          <c:cat>
            <c:strRef>
              <c:f>'EAC partner states2'!$B$2:$I$2</c:f>
              <c:strCache>
                <c:ptCount val="8"/>
                <c:pt idx="0">
                  <c:v>2010</c:v>
                </c:pt>
                <c:pt idx="1">
                  <c:v>2011</c:v>
                </c:pt>
                <c:pt idx="2">
                  <c:v>2012</c:v>
                </c:pt>
                <c:pt idx="3">
                  <c:v>2013</c:v>
                </c:pt>
                <c:pt idx="4">
                  <c:v>2014</c:v>
                </c:pt>
                <c:pt idx="5">
                  <c:v>2015</c:v>
                </c:pt>
                <c:pt idx="6">
                  <c:v>2016</c:v>
                </c:pt>
                <c:pt idx="7">
                  <c:v>2017</c:v>
                </c:pt>
              </c:strCache>
            </c:strRef>
          </c:cat>
          <c:val>
            <c:numRef>
              <c:f>'EAC partner states2'!$B$4:$I$4</c:f>
              <c:numCache>
                <c:formatCode>0.0</c:formatCode>
                <c:ptCount val="8"/>
                <c:pt idx="0">
                  <c:v>701.60455006203199</c:v>
                </c:pt>
                <c:pt idx="1">
                  <c:v>733.41280654160698</c:v>
                </c:pt>
                <c:pt idx="2">
                  <c:v>820.15628980374504</c:v>
                </c:pt>
                <c:pt idx="3">
                  <c:v>903.36186205807098</c:v>
                </c:pt>
                <c:pt idx="4">
                  <c:v>950.81830279270196</c:v>
                </c:pt>
                <c:pt idx="5">
                  <c:v>872.20316518498498</c:v>
                </c:pt>
                <c:pt idx="6">
                  <c:v>878.40337124431903</c:v>
                </c:pt>
                <c:pt idx="7">
                  <c:v>936.33076797189699</c:v>
                </c:pt>
              </c:numCache>
            </c:numRef>
          </c:val>
          <c:extLst>
            <c:ext xmlns:c16="http://schemas.microsoft.com/office/drawing/2014/chart" uri="{C3380CC4-5D6E-409C-BE32-E72D297353CC}">
              <c16:uniqueId val="{00000001-4726-5D4C-BCB1-7CD94BCBA7F6}"/>
            </c:ext>
          </c:extLst>
        </c:ser>
        <c:ser>
          <c:idx val="2"/>
          <c:order val="2"/>
          <c:tx>
            <c:strRef>
              <c:f>'EAC partner states2'!$A$5</c:f>
              <c:strCache>
                <c:ptCount val="1"/>
                <c:pt idx="0">
                  <c:v>Rwanda</c:v>
                </c:pt>
              </c:strCache>
            </c:strRef>
          </c:tx>
          <c:spPr>
            <a:solidFill>
              <a:schemeClr val="accent3"/>
            </a:solidFill>
            <a:ln>
              <a:noFill/>
            </a:ln>
            <a:effectLst/>
          </c:spPr>
          <c:invertIfNegative val="0"/>
          <c:cat>
            <c:strRef>
              <c:f>'EAC partner states2'!$B$2:$I$2</c:f>
              <c:strCache>
                <c:ptCount val="8"/>
                <c:pt idx="0">
                  <c:v>2010</c:v>
                </c:pt>
                <c:pt idx="1">
                  <c:v>2011</c:v>
                </c:pt>
                <c:pt idx="2">
                  <c:v>2012</c:v>
                </c:pt>
                <c:pt idx="3">
                  <c:v>2013</c:v>
                </c:pt>
                <c:pt idx="4">
                  <c:v>2014</c:v>
                </c:pt>
                <c:pt idx="5">
                  <c:v>2015</c:v>
                </c:pt>
                <c:pt idx="6">
                  <c:v>2016</c:v>
                </c:pt>
                <c:pt idx="7">
                  <c:v>2017</c:v>
                </c:pt>
              </c:strCache>
            </c:strRef>
          </c:cat>
          <c:val>
            <c:numRef>
              <c:f>'EAC partner states2'!$B$5:$I$5</c:f>
              <c:numCache>
                <c:formatCode>0.0</c:formatCode>
                <c:ptCount val="8"/>
                <c:pt idx="0">
                  <c:v>563.40134532644925</c:v>
                </c:pt>
                <c:pt idx="1">
                  <c:v>624.1228849071689</c:v>
                </c:pt>
                <c:pt idx="2">
                  <c:v>679.86075041736444</c:v>
                </c:pt>
                <c:pt idx="3">
                  <c:v>688.82234934735652</c:v>
                </c:pt>
                <c:pt idx="4">
                  <c:v>706.59670979584246</c:v>
                </c:pt>
                <c:pt idx="5">
                  <c:v>711.77397734687736</c:v>
                </c:pt>
                <c:pt idx="6">
                  <c:v>711.19579131154694</c:v>
                </c:pt>
                <c:pt idx="7">
                  <c:v>748.39325999655762</c:v>
                </c:pt>
              </c:numCache>
            </c:numRef>
          </c:val>
          <c:extLst>
            <c:ext xmlns:c16="http://schemas.microsoft.com/office/drawing/2014/chart" uri="{C3380CC4-5D6E-409C-BE32-E72D297353CC}">
              <c16:uniqueId val="{00000002-4726-5D4C-BCB1-7CD94BCBA7F6}"/>
            </c:ext>
          </c:extLst>
        </c:ser>
        <c:ser>
          <c:idx val="3"/>
          <c:order val="3"/>
          <c:tx>
            <c:strRef>
              <c:f>'EAC partner states2'!$A$6</c:f>
              <c:strCache>
                <c:ptCount val="1"/>
                <c:pt idx="0">
                  <c:v>Uganda</c:v>
                </c:pt>
              </c:strCache>
            </c:strRef>
          </c:tx>
          <c:spPr>
            <a:solidFill>
              <a:schemeClr val="accent4"/>
            </a:solidFill>
            <a:ln>
              <a:noFill/>
            </a:ln>
            <a:effectLst/>
          </c:spPr>
          <c:invertIfNegative val="0"/>
          <c:cat>
            <c:strRef>
              <c:f>'EAC partner states2'!$B$2:$I$2</c:f>
              <c:strCache>
                <c:ptCount val="8"/>
                <c:pt idx="0">
                  <c:v>2010</c:v>
                </c:pt>
                <c:pt idx="1">
                  <c:v>2011</c:v>
                </c:pt>
                <c:pt idx="2">
                  <c:v>2012</c:v>
                </c:pt>
                <c:pt idx="3">
                  <c:v>2013</c:v>
                </c:pt>
                <c:pt idx="4">
                  <c:v>2014</c:v>
                </c:pt>
                <c:pt idx="5">
                  <c:v>2015</c:v>
                </c:pt>
                <c:pt idx="6">
                  <c:v>2016</c:v>
                </c:pt>
                <c:pt idx="7">
                  <c:v>2017</c:v>
                </c:pt>
              </c:strCache>
            </c:strRef>
          </c:cat>
          <c:val>
            <c:numRef>
              <c:f>'EAC partner states2'!$B$6:$I$6</c:f>
              <c:numCache>
                <c:formatCode>0.0</c:formatCode>
                <c:ptCount val="8"/>
                <c:pt idx="0">
                  <c:v>595.2061732184734</c:v>
                </c:pt>
                <c:pt idx="1">
                  <c:v>574.91958140822385</c:v>
                </c:pt>
                <c:pt idx="2">
                  <c:v>636.63819353572558</c:v>
                </c:pt>
                <c:pt idx="3">
                  <c:v>655.04953468909196</c:v>
                </c:pt>
                <c:pt idx="4">
                  <c:v>702.79511708926896</c:v>
                </c:pt>
                <c:pt idx="5">
                  <c:v>675.12114179371758</c:v>
                </c:pt>
                <c:pt idx="6">
                  <c:v>580.38353398182778</c:v>
                </c:pt>
                <c:pt idx="7">
                  <c:v>604.0427481974898</c:v>
                </c:pt>
              </c:numCache>
            </c:numRef>
          </c:val>
          <c:extLst>
            <c:ext xmlns:c16="http://schemas.microsoft.com/office/drawing/2014/chart" uri="{C3380CC4-5D6E-409C-BE32-E72D297353CC}">
              <c16:uniqueId val="{00000003-4726-5D4C-BCB1-7CD94BCBA7F6}"/>
            </c:ext>
          </c:extLst>
        </c:ser>
        <c:ser>
          <c:idx val="4"/>
          <c:order val="4"/>
          <c:tx>
            <c:strRef>
              <c:f>'EAC partner states2'!$A$7</c:f>
              <c:strCache>
                <c:ptCount val="1"/>
                <c:pt idx="0">
                  <c:v>Burundi</c:v>
                </c:pt>
              </c:strCache>
            </c:strRef>
          </c:tx>
          <c:spPr>
            <a:solidFill>
              <a:schemeClr val="accent6"/>
            </a:solidFill>
            <a:ln>
              <a:noFill/>
            </a:ln>
            <a:effectLst/>
          </c:spPr>
          <c:invertIfNegative val="0"/>
          <c:cat>
            <c:strRef>
              <c:f>'EAC partner states2'!$B$2:$I$2</c:f>
              <c:strCache>
                <c:ptCount val="8"/>
                <c:pt idx="0">
                  <c:v>2010</c:v>
                </c:pt>
                <c:pt idx="1">
                  <c:v>2011</c:v>
                </c:pt>
                <c:pt idx="2">
                  <c:v>2012</c:v>
                </c:pt>
                <c:pt idx="3">
                  <c:v>2013</c:v>
                </c:pt>
                <c:pt idx="4">
                  <c:v>2014</c:v>
                </c:pt>
                <c:pt idx="5">
                  <c:v>2015</c:v>
                </c:pt>
                <c:pt idx="6">
                  <c:v>2016</c:v>
                </c:pt>
                <c:pt idx="7">
                  <c:v>2017</c:v>
                </c:pt>
              </c:strCache>
            </c:strRef>
          </c:cat>
          <c:val>
            <c:numRef>
              <c:f>'EAC partner states2'!$B$7:$I$7</c:f>
              <c:numCache>
                <c:formatCode>0.0</c:formatCode>
                <c:ptCount val="8"/>
                <c:pt idx="0">
                  <c:v>231.1943256492161</c:v>
                </c:pt>
                <c:pt idx="1">
                  <c:v>260.47990733815283</c:v>
                </c:pt>
                <c:pt idx="2">
                  <c:v>265.28560513126854</c:v>
                </c:pt>
                <c:pt idx="3">
                  <c:v>282.75552520818792</c:v>
                </c:pt>
                <c:pt idx="4">
                  <c:v>312.74897938701741</c:v>
                </c:pt>
                <c:pt idx="5">
                  <c:v>300.67655692526256</c:v>
                </c:pt>
                <c:pt idx="6">
                  <c:v>285.72744206474488</c:v>
                </c:pt>
                <c:pt idx="7">
                  <c:v>320.08687012089405</c:v>
                </c:pt>
              </c:numCache>
            </c:numRef>
          </c:val>
          <c:extLst>
            <c:ext xmlns:c16="http://schemas.microsoft.com/office/drawing/2014/chart" uri="{C3380CC4-5D6E-409C-BE32-E72D297353CC}">
              <c16:uniqueId val="{00000004-4726-5D4C-BCB1-7CD94BCBA7F6}"/>
            </c:ext>
          </c:extLst>
        </c:ser>
        <c:dLbls>
          <c:showLegendKey val="0"/>
          <c:showVal val="0"/>
          <c:showCatName val="0"/>
          <c:showSerName val="0"/>
          <c:showPercent val="0"/>
          <c:showBubbleSize val="0"/>
        </c:dLbls>
        <c:gapWidth val="219"/>
        <c:overlap val="-27"/>
        <c:axId val="322477208"/>
        <c:axId val="322477600"/>
      </c:barChart>
      <c:catAx>
        <c:axId val="3224772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322477600"/>
        <c:crosses val="autoZero"/>
        <c:auto val="1"/>
        <c:lblAlgn val="ctr"/>
        <c:lblOffset val="100"/>
        <c:noMultiLvlLbl val="0"/>
      </c:catAx>
      <c:valAx>
        <c:axId val="322477600"/>
        <c:scaling>
          <c:orientation val="minMax"/>
        </c:scaling>
        <c:delete val="0"/>
        <c:axPos val="l"/>
        <c:majorGridlines>
          <c:spPr>
            <a:ln w="9525" cap="flat" cmpd="sng" algn="ctr">
              <a:solidFill>
                <a:schemeClr val="tx1">
                  <a:lumMod val="15000"/>
                  <a:lumOff val="85000"/>
                </a:schemeClr>
              </a:solidFill>
              <a:round/>
            </a:ln>
            <a:effectLst/>
          </c:spPr>
        </c:majorGridlines>
        <c:numFmt formatCode="[$$-409]#,##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32247720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'Investment% of GDP'!$B$118</c:f>
              <c:strCache>
                <c:ptCount val="1"/>
                <c:pt idx="0">
                  <c:v>Public Sector% GDP</c:v>
                </c:pt>
              </c:strCache>
            </c:strRef>
          </c:tx>
          <c:spPr>
            <a:ln w="28575" cap="rnd">
              <a:solidFill>
                <a:schemeClr val="accent1"/>
              </a:solidFill>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'Investment% of GDP'!$C$117:$L$117</c:f>
              <c:strCache>
                <c:ptCount val="10"/>
                <c:pt idx="0">
                  <c:v>2009/10</c:v>
                </c:pt>
                <c:pt idx="1">
                  <c:v>2010/11</c:v>
                </c:pt>
                <c:pt idx="2">
                  <c:v>2011/12</c:v>
                </c:pt>
                <c:pt idx="3">
                  <c:v>2012/13</c:v>
                </c:pt>
                <c:pt idx="4">
                  <c:v>2013/14</c:v>
                </c:pt>
                <c:pt idx="5">
                  <c:v>2014/15</c:v>
                </c:pt>
                <c:pt idx="6">
                  <c:v>2015/16</c:v>
                </c:pt>
                <c:pt idx="7">
                  <c:v>2016/17</c:v>
                </c:pt>
                <c:pt idx="8">
                  <c:v>2017/18</c:v>
                </c:pt>
                <c:pt idx="9">
                  <c:v>2018/19</c:v>
                </c:pt>
              </c:strCache>
            </c:strRef>
          </c:cat>
          <c:val>
            <c:numRef>
              <c:f>'Investment% of GDP'!$C$118:$L$118</c:f>
              <c:numCache>
                <c:formatCode>0.0%</c:formatCode>
                <c:ptCount val="10"/>
                <c:pt idx="0">
                  <c:v>3.143413757555024E-2</c:v>
                </c:pt>
                <c:pt idx="1">
                  <c:v>3.1642951973424455E-2</c:v>
                </c:pt>
                <c:pt idx="2">
                  <c:v>3.1958617973157438E-2</c:v>
                </c:pt>
                <c:pt idx="3">
                  <c:v>3.9099660247734931E-2</c:v>
                </c:pt>
                <c:pt idx="4">
                  <c:v>4.083071982644252E-2</c:v>
                </c:pt>
                <c:pt idx="5">
                  <c:v>3.6478845608551518E-2</c:v>
                </c:pt>
                <c:pt idx="6">
                  <c:v>3.3704367361852845E-2</c:v>
                </c:pt>
                <c:pt idx="7">
                  <c:v>3.8310177111449913E-2</c:v>
                </c:pt>
                <c:pt idx="8">
                  <c:v>3.1808214314440024E-2</c:v>
                </c:pt>
                <c:pt idx="9">
                  <c:v>3.2783012294887871E-2</c:v>
                </c:pt>
              </c:numCache>
            </c:numRef>
          </c:val>
          <c:smooth val="0"/>
          <c:extLst>
            <c:ext xmlns:c16="http://schemas.microsoft.com/office/drawing/2014/chart" uri="{C3380CC4-5D6E-409C-BE32-E72D297353CC}">
              <c16:uniqueId val="{00000000-55F5-0D46-9B04-2522A6052CD8}"/>
            </c:ext>
          </c:extLst>
        </c:ser>
        <c:ser>
          <c:idx val="1"/>
          <c:order val="1"/>
          <c:tx>
            <c:strRef>
              <c:f>'Investment% of GDP'!$B$119</c:f>
              <c:strCache>
                <c:ptCount val="1"/>
                <c:pt idx="0">
                  <c:v>Private Sector% GDP</c:v>
                </c:pt>
              </c:strCache>
            </c:strRef>
          </c:tx>
          <c:spPr>
            <a:ln w="28575" cap="rnd">
              <a:solidFill>
                <a:schemeClr val="accent2"/>
              </a:solidFill>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'Investment% of GDP'!$C$117:$L$117</c:f>
              <c:strCache>
                <c:ptCount val="10"/>
                <c:pt idx="0">
                  <c:v>2009/10</c:v>
                </c:pt>
                <c:pt idx="1">
                  <c:v>2010/11</c:v>
                </c:pt>
                <c:pt idx="2">
                  <c:v>2011/12</c:v>
                </c:pt>
                <c:pt idx="3">
                  <c:v>2012/13</c:v>
                </c:pt>
                <c:pt idx="4">
                  <c:v>2013/14</c:v>
                </c:pt>
                <c:pt idx="5">
                  <c:v>2014/15</c:v>
                </c:pt>
                <c:pt idx="6">
                  <c:v>2015/16</c:v>
                </c:pt>
                <c:pt idx="7">
                  <c:v>2016/17</c:v>
                </c:pt>
                <c:pt idx="8">
                  <c:v>2017/18</c:v>
                </c:pt>
                <c:pt idx="9">
                  <c:v>2018/19</c:v>
                </c:pt>
              </c:strCache>
            </c:strRef>
          </c:cat>
          <c:val>
            <c:numRef>
              <c:f>'Investment% of GDP'!$C$119:$L$119</c:f>
              <c:numCache>
                <c:formatCode>0%</c:formatCode>
                <c:ptCount val="10"/>
                <c:pt idx="0">
                  <c:v>0.22090594828078861</c:v>
                </c:pt>
                <c:pt idx="1">
                  <c:v>0.23976001210345846</c:v>
                </c:pt>
                <c:pt idx="2">
                  <c:v>0.23738575840937293</c:v>
                </c:pt>
                <c:pt idx="3">
                  <c:v>0.24026793529285359</c:v>
                </c:pt>
                <c:pt idx="4">
                  <c:v>0.22746417312093239</c:v>
                </c:pt>
                <c:pt idx="5">
                  <c:v>0.20529265871874644</c:v>
                </c:pt>
                <c:pt idx="6">
                  <c:v>0.21564282397836312</c:v>
                </c:pt>
                <c:pt idx="7">
                  <c:v>0.19278651308316658</c:v>
                </c:pt>
                <c:pt idx="8">
                  <c:v>0.21329838276062654</c:v>
                </c:pt>
                <c:pt idx="9">
                  <c:v>0.22388506461229071</c:v>
                </c:pt>
              </c:numCache>
            </c:numRef>
          </c:val>
          <c:smooth val="0"/>
          <c:extLst>
            <c:ext xmlns:c16="http://schemas.microsoft.com/office/drawing/2014/chart" uri="{C3380CC4-5D6E-409C-BE32-E72D297353CC}">
              <c16:uniqueId val="{00000001-55F5-0D46-9B04-2522A6052CD8}"/>
            </c:ext>
          </c:extLst>
        </c:ser>
        <c:ser>
          <c:idx val="2"/>
          <c:order val="2"/>
          <c:tx>
            <c:strRef>
              <c:f>'Investment% of GDP'!$B$120</c:f>
              <c:strCache>
                <c:ptCount val="1"/>
                <c:pt idx="0">
                  <c:v>Total % GDP</c:v>
                </c:pt>
              </c:strCache>
            </c:strRef>
          </c:tx>
          <c:spPr>
            <a:ln w="28575" cap="rnd">
              <a:solidFill>
                <a:schemeClr val="accent3"/>
              </a:solidFill>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'Investment% of GDP'!$C$117:$L$117</c:f>
              <c:strCache>
                <c:ptCount val="10"/>
                <c:pt idx="0">
                  <c:v>2009/10</c:v>
                </c:pt>
                <c:pt idx="1">
                  <c:v>2010/11</c:v>
                </c:pt>
                <c:pt idx="2">
                  <c:v>2011/12</c:v>
                </c:pt>
                <c:pt idx="3">
                  <c:v>2012/13</c:v>
                </c:pt>
                <c:pt idx="4">
                  <c:v>2013/14</c:v>
                </c:pt>
                <c:pt idx="5">
                  <c:v>2014/15</c:v>
                </c:pt>
                <c:pt idx="6">
                  <c:v>2015/16</c:v>
                </c:pt>
                <c:pt idx="7">
                  <c:v>2016/17</c:v>
                </c:pt>
                <c:pt idx="8">
                  <c:v>2017/18</c:v>
                </c:pt>
                <c:pt idx="9">
                  <c:v>2018/19</c:v>
                </c:pt>
              </c:strCache>
            </c:strRef>
          </c:cat>
          <c:val>
            <c:numRef>
              <c:f>'Investment% of GDP'!$C$120:$L$120</c:f>
              <c:numCache>
                <c:formatCode>0%</c:formatCode>
                <c:ptCount val="10"/>
                <c:pt idx="0">
                  <c:v>0.25234008585633888</c:v>
                </c:pt>
                <c:pt idx="1">
                  <c:v>0.27140296407688291</c:v>
                </c:pt>
                <c:pt idx="2">
                  <c:v>0.26934437638253034</c:v>
                </c:pt>
                <c:pt idx="3">
                  <c:v>0.27936759554058849</c:v>
                </c:pt>
                <c:pt idx="4">
                  <c:v>0.26829489294737491</c:v>
                </c:pt>
                <c:pt idx="5">
                  <c:v>0.24177150432729796</c:v>
                </c:pt>
                <c:pt idx="6">
                  <c:v>0.24934719134021593</c:v>
                </c:pt>
                <c:pt idx="7">
                  <c:v>0.23109669019461646</c:v>
                </c:pt>
                <c:pt idx="8">
                  <c:v>0.24510659707506657</c:v>
                </c:pt>
                <c:pt idx="9">
                  <c:v>0.25666807690717858</c:v>
                </c:pt>
              </c:numCache>
            </c:numRef>
          </c:val>
          <c:smooth val="0"/>
          <c:extLst>
            <c:ext xmlns:c16="http://schemas.microsoft.com/office/drawing/2014/chart" uri="{C3380CC4-5D6E-409C-BE32-E72D297353CC}">
              <c16:uniqueId val="{00000002-55F5-0D46-9B04-2522A6052CD8}"/>
            </c:ext>
          </c:extLst>
        </c:ser>
        <c:dLbls>
          <c:showLegendKey val="0"/>
          <c:showVal val="1"/>
          <c:showCatName val="0"/>
          <c:showSerName val="0"/>
          <c:showPercent val="0"/>
          <c:showBubbleSize val="0"/>
        </c:dLbls>
        <c:smooth val="0"/>
        <c:axId val="315006464"/>
        <c:axId val="315008032"/>
      </c:lineChart>
      <c:catAx>
        <c:axId val="31500646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315008032"/>
        <c:crosses val="autoZero"/>
        <c:auto val="1"/>
        <c:lblAlgn val="ctr"/>
        <c:lblOffset val="100"/>
        <c:noMultiLvlLbl val="0"/>
      </c:catAx>
      <c:valAx>
        <c:axId val="315008032"/>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31500646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MoFPED</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F4D43B6-CC40-B941-A5D8-415ED0F35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23</Pages>
  <Words>5702</Words>
  <Characters>32504</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Determinants of growth, drivers and barriers to Uganda’s recent growth, and future strategies for inclusive growth</vt:lpstr>
    </vt:vector>
  </TitlesOfParts>
  <Company>Macroeconomic Policy Department</Company>
  <LinksUpToDate>false</LinksUpToDate>
  <CharactersWithSpaces>38130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Determinants of growth, drivers and barriers to Uganda’s recent growth, and future strategies for inclusive growth</dc:title>
  <dc:subject/>
  <dc:creator>Economic Analysis</dc:creator>
  <cp:keywords/>
  <dc:description/>
  <cp:lastModifiedBy>John Ayre</cp:lastModifiedBy>
  <cp:revision>25</cp:revision>
  <dcterms:created xsi:type="dcterms:W3CDTF">2019-08-12T06:07:00Z</dcterms:created>
  <dcterms:modified xsi:type="dcterms:W3CDTF">2019-08-12T11:06:00Z</dcterms:modified>
</cp:coreProperties>
</file>